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REQUERIMENTO Nº             / 202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–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7.00000000000003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Vereador MÁRIO BRANDÃO – PL/STN,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que a este subscreve, vem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SOLICITAR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após a devida tramitação regimental e consultado o Soberano Plenário, que seja encaminhado cópia da presente proposição ao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EXMO. SR.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SEBASTIÃO BALA ROCHA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PREFEITO MUNICIPAL DE 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ANTANA.</w:t>
      </w:r>
    </w:p>
    <w:p w:rsidR="00000000" w:rsidDel="00000000" w:rsidP="00000000" w:rsidRDefault="00000000" w:rsidRPr="00000000" w14:paraId="00000003">
      <w:pPr>
        <w:spacing w:line="360" w:lineRule="auto"/>
        <w:ind w:left="17.00000000000003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 A CRIAÇÃO DO PRÊMIO "ALUNO NOTA DEZ" NAS ESCOLAS MUNICIPAIS DE SANTANA, DESTINADO A PREMIAR OS ESTUDANTES DO ENSINO FUNDAMENTAL QUE SE DESTACARAM PELOS MELHORES RESULTADOS ACADÊMICOS NO ANO LETIVO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2831" w:firstLine="708.9999999999998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criação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Prêmio "Aluno Nota Dez"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nas escolas municipais de Santana é uma medida fundamental para incentivar e reconhecer o esforço dos alunos que se dedicam ao aprendizado e se destacam academicamente. O prêmio tem como objetivo valorizar o mérito da educação, reconhecendo alunos do ensino fundamental que apresentam os melhores resultados em termos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frequência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notas obtidas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participação em atividades extracurriculares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Essa iniciativa não apenas estimula o desempenho individual dos estudantes, mas também contribui significativamente para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melhoria dos índices educacionais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município, incluindo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IDEB (Índice de Desenvolvimento da Educação Básica)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Ao promover um ambiente escolar competitivo e focado na excelência acadêmica, o prêmio pode se tornar um forte aliado na elevação dos resultados das avaliações externas, o que impacta positivamente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desempenho global das escolas municipais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proposta visa estimular uma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cultura de excelência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nas escolas municipais, motivando os alunos a se empenharem em suas atividades educacionais e a se comprometerem com a aprendizagem. A premiação deve ser realizada de forma anual, assegurando que todos os níveis de ensino sejam contemplados e que o reconhecimento se torne uma tradição dentro das escolas de Santana.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Secretaria Municipal 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será responsável por estabelecer os critérios de avaliação e os procedimentos para a seleção dos premiados, garantindo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equidade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transparência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processo. Além disso, é importante que o prêmio seja distribuído de forma justa entre os estudantes de diferentes séries, de modo a contemplar todos os níveis de escolaridade.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criação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Prêmio "Aluno Nota Dez"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será um estímulo importante para o desenvolvimento educacional de nossa cidade, contribuindo não apenas para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melhoria da qualidade da educação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mas também para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engajamento das famílias e da comunidade escolar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processo educacional. Esse engajamento e o incentivo ao estudo contínuo terão um impacto direto nos resultados das escolas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ajudando o município a alcançar melhores índices educacionais.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da relevância dessa iniciativa, solicitamos o apoio do Excelentíssimo Senhor Prefeito e da Secretaria Municipal de Educação para a implementação deste projeto, que certamente trará resultados positivos para a educação municipal.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124" w:firstLine="707.9999999999998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134" w:top="993" w:left="1701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before="163" w:line="240" w:lineRule="auto"/>
      <w:ind w:right="143"/>
      <w:jc w:val="both"/>
      <w:rPr>
        <w:rFonts w:ascii="Arial" w:cs="Arial" w:eastAsia="Arial" w:hAnsi="Arial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PALÁCIO DR. FÁBIO JOSÉ DOS SANTOS, SEDE DO PODER LEGISLATIVO MUNICIPAL, CIDADE SANTANA/ AP, GABINETE DO PARLAMENTAR VEREADOR MÁRIO DA SILVA BRANDÃO- PL, 23 DE SETEMBRO DE 2024.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120" w:line="240" w:lineRule="auto"/>
      <w:rPr>
        <w:rFonts w:ascii="Arial" w:cs="Arial" w:eastAsia="Arial" w:hAnsi="Arial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40" w:lineRule="auto"/>
      <w:ind w:left="2124" w:firstLine="707.9999999999998"/>
      <w:rPr>
        <w:rFonts w:ascii="Arial" w:cs="Arial" w:eastAsia="Arial" w:hAnsi="Arial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Vereador Mário Brandão 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Presidente da comissão econômica e de serviços </w:t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públicos da câmara municipal de Santana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gabineteverereadormariobrandao@gmail.com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Rua Ubaldo Figueira, Nº 54, Bairro Central, Santana – AP. CEP 68925-186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92665" y="3594263"/>
                        <a:ext cx="5106670" cy="371475"/>
                      </a:xfrm>
                      <a:custGeom>
                        <a:rect b="b" l="l" r="r" t="t"/>
                        <a:pathLst>
                          <a:path extrusionOk="0" h="371475" w="510667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2.000000476837158" w:line="275.9999942779541"/>
                            <w:ind w:left="0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gabinetemariobrandao@gmail.com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11.000000238418579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Ubaldo Figueira, Nº 54, Bairro Central, Santana – AP. CEP 68925-186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color w:val="d9d9d9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d9d9d9"/>
        <w:sz w:val="20"/>
        <w:szCs w:val="20"/>
        <w:rtl w:val="0"/>
      </w:rPr>
      <w:t xml:space="preserve">ALUNO NOTA DEZ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 </w:t>
    </w:r>
  </w:p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</w:rPr>
      <w:pict>
        <v:shape id="WordPictureWatermark2" style="position:absolute;width:496.0pt;height:450.0pt;rotation:0;z-index:-503316481;mso-position-horizontal-relative:margin;mso-position-horizontal:absolute;margin-left:-42.22440944881886pt;mso-position-vertical-relative:margin;mso-position-vertical:absolute;margin-top:134.0773037647638pt;" alt="" type="#_x0000_t75">
          <v:imagedata blacklevel="22938f" cropbottom="0f" cropleft="0f" cropright="0f" croptop="0f" gain="19661f" r:id="rId2" o:title="image2.jpg"/>
        </v:shape>
      </w:pic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