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64C7D" w14:textId="77777777" w:rsidR="00C30DC5" w:rsidRDefault="00C30DC5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14:paraId="4B713A3D" w14:textId="443434CC" w:rsidR="00A81476" w:rsidRPr="004049C0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___</w:t>
      </w:r>
      <w:r w:rsidR="00CD7E83">
        <w:rPr>
          <w:rFonts w:ascii="Arial" w:hAnsi="Arial" w:cs="Arial"/>
          <w:b/>
          <w:sz w:val="24"/>
        </w:rPr>
        <w:t>___</w:t>
      </w:r>
      <w:r>
        <w:rPr>
          <w:rFonts w:ascii="Arial" w:hAnsi="Arial" w:cs="Arial"/>
          <w:b/>
          <w:sz w:val="24"/>
        </w:rPr>
        <w:t>_</w:t>
      </w:r>
      <w:r w:rsidR="00A81476" w:rsidRPr="004049C0">
        <w:rPr>
          <w:rFonts w:ascii="Arial" w:hAnsi="Arial" w:cs="Arial"/>
          <w:b/>
          <w:sz w:val="24"/>
        </w:rPr>
        <w:t>/202</w:t>
      </w:r>
      <w:r w:rsidR="000C2258">
        <w:rPr>
          <w:rFonts w:ascii="Arial" w:hAnsi="Arial" w:cs="Arial"/>
          <w:b/>
          <w:sz w:val="24"/>
        </w:rPr>
        <w:t>2</w:t>
      </w:r>
    </w:p>
    <w:p w14:paraId="51D42667" w14:textId="77777777" w:rsidR="00A81476" w:rsidRDefault="00A81476" w:rsidP="00A81476">
      <w:pPr>
        <w:spacing w:line="276" w:lineRule="auto"/>
        <w:jc w:val="center"/>
        <w:rPr>
          <w:rFonts w:ascii="Arial" w:hAnsi="Arial" w:cs="Arial"/>
          <w:sz w:val="24"/>
        </w:rPr>
      </w:pPr>
    </w:p>
    <w:p w14:paraId="52D21B01" w14:textId="515C1660" w:rsidR="00A81476" w:rsidRDefault="00A81476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 </w:t>
      </w:r>
      <w:r w:rsidR="0047659D" w:rsidRPr="00E54FB9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COMISSÃO DE ORÇAMENTO E FINANÇAS</w:t>
      </w:r>
      <w:r>
        <w:rPr>
          <w:rFonts w:ascii="Arial" w:hAnsi="Arial" w:cs="Arial"/>
          <w:sz w:val="24"/>
        </w:rPr>
        <w:t>, em decisão terminativa,</w:t>
      </w:r>
      <w:r w:rsidR="00E202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Projeto de Lei</w:t>
      </w:r>
      <w:r w:rsidR="00373F1D">
        <w:rPr>
          <w:rFonts w:ascii="Arial" w:hAnsi="Arial" w:cs="Arial"/>
          <w:sz w:val="24"/>
        </w:rPr>
        <w:t xml:space="preserve"> </w:t>
      </w:r>
      <w:r w:rsidR="00CD7E83">
        <w:rPr>
          <w:rFonts w:ascii="Arial" w:hAnsi="Arial" w:cs="Arial"/>
          <w:sz w:val="24"/>
        </w:rPr>
        <w:t>65</w:t>
      </w:r>
      <w:r>
        <w:rPr>
          <w:rFonts w:ascii="Arial" w:hAnsi="Arial" w:cs="Arial"/>
          <w:sz w:val="24"/>
        </w:rPr>
        <w:t>/202</w:t>
      </w:r>
      <w:bookmarkStart w:id="0" w:name="_Hlk76594236"/>
      <w:r w:rsidR="00005DAA">
        <w:rPr>
          <w:rFonts w:ascii="Arial" w:hAnsi="Arial" w:cs="Arial"/>
          <w:sz w:val="24"/>
        </w:rPr>
        <w:t xml:space="preserve">2 </w:t>
      </w:r>
      <w:r w:rsidR="00DF5C40">
        <w:rPr>
          <w:rFonts w:ascii="Arial" w:hAnsi="Arial" w:cs="Arial"/>
          <w:sz w:val="24"/>
        </w:rPr>
        <w:t xml:space="preserve">no qual objetiva </w:t>
      </w:r>
      <w:r w:rsidR="00606E69">
        <w:rPr>
          <w:rFonts w:ascii="Arial" w:hAnsi="Arial" w:cs="Arial"/>
          <w:sz w:val="24"/>
        </w:rPr>
        <w:t xml:space="preserve">alterar a Lei </w:t>
      </w:r>
      <w:r w:rsidR="00A155E0">
        <w:rPr>
          <w:rFonts w:ascii="Arial" w:hAnsi="Arial" w:cs="Arial"/>
          <w:sz w:val="24"/>
        </w:rPr>
        <w:t>n° 14</w:t>
      </w:r>
      <w:r w:rsidR="00ED402F">
        <w:rPr>
          <w:rFonts w:ascii="Arial" w:hAnsi="Arial" w:cs="Arial"/>
          <w:sz w:val="24"/>
        </w:rPr>
        <w:t xml:space="preserve">26/2022 </w:t>
      </w:r>
      <w:r>
        <w:rPr>
          <w:rFonts w:ascii="Arial" w:hAnsi="Arial" w:cs="Arial"/>
          <w:sz w:val="24"/>
        </w:rPr>
        <w:t>que</w:t>
      </w:r>
      <w:r w:rsidR="00E73969">
        <w:rPr>
          <w:rFonts w:ascii="Arial" w:hAnsi="Arial" w:cs="Arial"/>
          <w:sz w:val="24"/>
        </w:rPr>
        <w:t xml:space="preserve"> </w:t>
      </w:r>
      <w:r w:rsidR="002A0885">
        <w:rPr>
          <w:rFonts w:ascii="Arial" w:hAnsi="Arial" w:cs="Arial"/>
          <w:sz w:val="24"/>
        </w:rPr>
        <w:t xml:space="preserve">versa sobre as diretrizes orçamentárias </w:t>
      </w:r>
      <w:r w:rsidR="00204FD4">
        <w:rPr>
          <w:rFonts w:ascii="Arial" w:hAnsi="Arial" w:cs="Arial"/>
          <w:sz w:val="24"/>
        </w:rPr>
        <w:t>para</w:t>
      </w:r>
      <w:r w:rsidR="00687079">
        <w:rPr>
          <w:rFonts w:ascii="Arial" w:hAnsi="Arial" w:cs="Arial"/>
          <w:sz w:val="24"/>
        </w:rPr>
        <w:t xml:space="preserve"> o </w:t>
      </w:r>
      <w:proofErr w:type="spellStart"/>
      <w:r w:rsidR="00687079">
        <w:rPr>
          <w:rFonts w:ascii="Arial" w:hAnsi="Arial" w:cs="Arial"/>
          <w:sz w:val="24"/>
        </w:rPr>
        <w:t>exercio</w:t>
      </w:r>
      <w:proofErr w:type="spellEnd"/>
      <w:r w:rsidR="00687079">
        <w:rPr>
          <w:rFonts w:ascii="Arial" w:hAnsi="Arial" w:cs="Arial"/>
          <w:sz w:val="24"/>
        </w:rPr>
        <w:t xml:space="preserve"> financeiro </w:t>
      </w:r>
      <w:r w:rsidR="00D122BC">
        <w:rPr>
          <w:rFonts w:ascii="Arial" w:hAnsi="Arial" w:cs="Arial"/>
          <w:sz w:val="24"/>
        </w:rPr>
        <w:t>de 2023 e da outras Providências.</w:t>
      </w:r>
    </w:p>
    <w:bookmarkEnd w:id="0"/>
    <w:p w14:paraId="6162CA2E" w14:textId="77777777" w:rsidR="00E73969" w:rsidRDefault="00E73969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</w:p>
    <w:p w14:paraId="25F3383B" w14:textId="77777777" w:rsidR="00A81476" w:rsidRPr="004049C0" w:rsidRDefault="00174971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AUTORIA</w:t>
      </w:r>
      <w:r w:rsidR="00A81476" w:rsidRPr="004049C0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PODER EXECUTIVO MUNICIPAL</w:t>
      </w:r>
    </w:p>
    <w:p w14:paraId="7EC0EA06" w14:textId="77777777" w:rsidR="00A81476" w:rsidRPr="004049C0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14:paraId="49DEEA08" w14:textId="77777777" w:rsidR="00A81476" w:rsidRPr="004049C0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I – RELATÓRIO</w:t>
      </w:r>
    </w:p>
    <w:p w14:paraId="07C50682" w14:textId="77777777"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14:paraId="3EBFBFB4" w14:textId="49D329DF" w:rsidR="003C17DD" w:rsidRDefault="00A81476" w:rsidP="003C17DD">
      <w:pPr>
        <w:spacing w:line="276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autoria do </w:t>
      </w:r>
      <w:r w:rsidR="00174971">
        <w:rPr>
          <w:rFonts w:ascii="Arial" w:hAnsi="Arial" w:cs="Arial"/>
          <w:sz w:val="24"/>
        </w:rPr>
        <w:t>Poder Executivo Municipal</w:t>
      </w:r>
      <w:r>
        <w:rPr>
          <w:rFonts w:ascii="Arial" w:hAnsi="Arial" w:cs="Arial"/>
          <w:sz w:val="24"/>
        </w:rPr>
        <w:t xml:space="preserve">, o </w:t>
      </w:r>
      <w:r w:rsidR="00CD7E83">
        <w:rPr>
          <w:rFonts w:ascii="Arial" w:hAnsi="Arial" w:cs="Arial"/>
          <w:sz w:val="24"/>
        </w:rPr>
        <w:t>Projeto de Lei 65</w:t>
      </w:r>
      <w:r w:rsidR="00CA364E">
        <w:rPr>
          <w:rFonts w:ascii="Arial" w:hAnsi="Arial" w:cs="Arial"/>
          <w:sz w:val="24"/>
        </w:rPr>
        <w:t xml:space="preserve">/2022 no qual objetiva alterar a Lei n° 1426/2022 que versa sobre as diretrizes orçamentárias para o </w:t>
      </w:r>
      <w:proofErr w:type="spellStart"/>
      <w:r w:rsidR="00CA364E">
        <w:rPr>
          <w:rFonts w:ascii="Arial" w:hAnsi="Arial" w:cs="Arial"/>
          <w:sz w:val="24"/>
        </w:rPr>
        <w:t>exercio</w:t>
      </w:r>
      <w:proofErr w:type="spellEnd"/>
      <w:r w:rsidR="00CA364E">
        <w:rPr>
          <w:rFonts w:ascii="Arial" w:hAnsi="Arial" w:cs="Arial"/>
          <w:sz w:val="24"/>
        </w:rPr>
        <w:t xml:space="preserve"> financeiro de 202</w:t>
      </w:r>
      <w:r w:rsidR="003C17DD">
        <w:rPr>
          <w:rFonts w:ascii="Arial" w:hAnsi="Arial" w:cs="Arial"/>
          <w:sz w:val="24"/>
        </w:rPr>
        <w:t xml:space="preserve">3. </w:t>
      </w:r>
    </w:p>
    <w:p w14:paraId="7F1A9688" w14:textId="3EC82437" w:rsidR="009D7799" w:rsidRPr="009D7799" w:rsidRDefault="001109E0" w:rsidP="009D7799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sua justificativa informa que </w:t>
      </w:r>
      <w:r w:rsidR="00617C5E">
        <w:rPr>
          <w:rFonts w:ascii="Arial" w:hAnsi="Arial" w:cs="Arial"/>
          <w:sz w:val="24"/>
        </w:rPr>
        <w:t>o</w:t>
      </w:r>
      <w:r w:rsidR="009D7799" w:rsidRPr="009D7799">
        <w:rPr>
          <w:rFonts w:ascii="Arial" w:hAnsi="Arial" w:cs="Arial"/>
          <w:sz w:val="24"/>
        </w:rPr>
        <w:t xml:space="preserve"> Projeto de Lei define, de forma geral, autorização que convalidará ao Poder Executivo a criação de auxílio municipal denominado </w:t>
      </w:r>
      <w:proofErr w:type="spellStart"/>
      <w:r w:rsidR="009D7799" w:rsidRPr="009D7799">
        <w:rPr>
          <w:rFonts w:ascii="Arial" w:hAnsi="Arial" w:cs="Arial"/>
          <w:sz w:val="24"/>
        </w:rPr>
        <w:t>Raiane</w:t>
      </w:r>
      <w:proofErr w:type="spellEnd"/>
      <w:r w:rsidR="009D7799" w:rsidRPr="009D7799">
        <w:rPr>
          <w:rFonts w:ascii="Arial" w:hAnsi="Arial" w:cs="Arial"/>
          <w:sz w:val="24"/>
        </w:rPr>
        <w:t xml:space="preserve"> Miranda, que visa constituir benefício destinado aos órfãos, filhos de mulheres que foram vítimas de </w:t>
      </w:r>
      <w:proofErr w:type="spellStart"/>
      <w:r w:rsidR="009D7799" w:rsidRPr="009D7799">
        <w:rPr>
          <w:rFonts w:ascii="Arial" w:hAnsi="Arial" w:cs="Arial"/>
          <w:sz w:val="24"/>
        </w:rPr>
        <w:t>feminicídio</w:t>
      </w:r>
      <w:proofErr w:type="spellEnd"/>
      <w:r w:rsidR="009D7799" w:rsidRPr="009D7799">
        <w:rPr>
          <w:rFonts w:ascii="Arial" w:hAnsi="Arial" w:cs="Arial"/>
          <w:sz w:val="24"/>
        </w:rPr>
        <w:t xml:space="preserve"> no Município de Santana, com vistas a garantir o cumprimento da tutela do estado na proteção da criança e do adolescente órfão em situação de vulnerabilidade social. Tendo em vista a garantia constitucional que rege a proteção integral da criança e do adolescente, com escopo definido no artigo 227 e o parágrafo 30 , inciso VI, que promove o direito a proteção especial abrangerá o estímulo do Poder Público, através de assistência jurídica, incentivos fiscais e subsídios, nos termos da lei a garantia de prioridade compreende, a destinação privilegiada de recursos públicos nas áreas relacionadas com a proteção à infância e à juventude.</w:t>
      </w:r>
    </w:p>
    <w:p w14:paraId="3A0DCBAE" w14:textId="77777777" w:rsidR="009D7799" w:rsidRPr="009D7799" w:rsidRDefault="009D7799" w:rsidP="009D7799">
      <w:pPr>
        <w:spacing w:line="276" w:lineRule="auto"/>
        <w:jc w:val="both"/>
        <w:rPr>
          <w:rFonts w:ascii="Arial" w:hAnsi="Arial" w:cs="Arial"/>
          <w:sz w:val="24"/>
        </w:rPr>
      </w:pPr>
      <w:r w:rsidRPr="009D7799">
        <w:rPr>
          <w:rFonts w:ascii="Arial" w:hAnsi="Arial" w:cs="Arial"/>
          <w:sz w:val="24"/>
        </w:rPr>
        <w:t>É mister informar a Vossas Excelências que o movimento autorizativo configura criação de nova despesa pública, enfatizando, oportunamente, que o montante total equivale a valor irrisório sobre a RCL nos exercícios de 2023, 2024 e 2025, tendo em vista atingir a cifra de R$18.000,00 (dezoito mil reais) em cada exercício.</w:t>
      </w:r>
    </w:p>
    <w:p w14:paraId="212E4707" w14:textId="11B1BBA7" w:rsidR="00A81476" w:rsidRDefault="009D7799" w:rsidP="00A81476">
      <w:pPr>
        <w:spacing w:line="276" w:lineRule="auto"/>
        <w:jc w:val="both"/>
        <w:rPr>
          <w:rFonts w:ascii="Arial" w:hAnsi="Arial" w:cs="Arial"/>
          <w:sz w:val="24"/>
        </w:rPr>
      </w:pPr>
      <w:r w:rsidRPr="009D7799">
        <w:rPr>
          <w:rFonts w:ascii="Arial" w:hAnsi="Arial" w:cs="Arial"/>
          <w:sz w:val="24"/>
        </w:rPr>
        <w:lastRenderedPageBreak/>
        <w:t>Deste modo, o projeto de lei prevê autorização para que o Poder Executivo Municipal promova as alterações necessárias na Lei Orçamentária Anual de 2023, objetivando incluir a referente modalidade de auxílio, bem como incluir o Sistem</w:t>
      </w:r>
      <w:r w:rsidR="00562348">
        <w:rPr>
          <w:rFonts w:ascii="Arial" w:hAnsi="Arial" w:cs="Arial"/>
          <w:sz w:val="24"/>
        </w:rPr>
        <w:t xml:space="preserve">a </w:t>
      </w:r>
      <w:r w:rsidRPr="009D7799">
        <w:rPr>
          <w:rFonts w:ascii="Arial" w:hAnsi="Arial" w:cs="Arial"/>
          <w:sz w:val="24"/>
        </w:rPr>
        <w:t>Municipal de Cultura e a Agência Reguladora de Serviços Públicos Delegados do Município de Santana</w:t>
      </w:r>
      <w:r w:rsidR="00616A29">
        <w:rPr>
          <w:rFonts w:ascii="Arial" w:hAnsi="Arial" w:cs="Arial"/>
          <w:sz w:val="24"/>
        </w:rPr>
        <w:t>.</w:t>
      </w:r>
    </w:p>
    <w:p w14:paraId="2E80201F" w14:textId="5974529E" w:rsidR="00A81476" w:rsidRDefault="003219D3" w:rsidP="007156D9">
      <w:pPr>
        <w:spacing w:line="276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81476">
        <w:rPr>
          <w:rFonts w:ascii="Arial" w:hAnsi="Arial" w:cs="Arial"/>
          <w:sz w:val="24"/>
        </w:rPr>
        <w:t xml:space="preserve">Em continuidade ao processo legislativo, obedecido ao prazo regimental, foi </w:t>
      </w:r>
      <w:r w:rsidR="00F467E1">
        <w:rPr>
          <w:rFonts w:ascii="Arial" w:hAnsi="Arial" w:cs="Arial"/>
          <w:sz w:val="24"/>
        </w:rPr>
        <w:t>à</w:t>
      </w:r>
      <w:r w:rsidR="00A81476">
        <w:rPr>
          <w:rFonts w:ascii="Arial" w:hAnsi="Arial" w:cs="Arial"/>
          <w:sz w:val="24"/>
        </w:rPr>
        <w:t xml:space="preserve"> proposição encaminhada a esta Comissão </w:t>
      </w:r>
      <w:r w:rsidR="0047659D">
        <w:rPr>
          <w:rFonts w:ascii="Arial" w:hAnsi="Arial" w:cs="Arial"/>
          <w:sz w:val="24"/>
        </w:rPr>
        <w:t xml:space="preserve">de </w:t>
      </w:r>
      <w:r w:rsidR="0047659D" w:rsidRPr="00E54FB9">
        <w:rPr>
          <w:rFonts w:ascii="Arial" w:hAnsi="Arial" w:cs="Arial"/>
          <w:sz w:val="24"/>
          <w:szCs w:val="24"/>
        </w:rPr>
        <w:t>Orçamento e Finanças</w:t>
      </w:r>
      <w:r w:rsidR="00A81476">
        <w:rPr>
          <w:rFonts w:ascii="Arial" w:hAnsi="Arial" w:cs="Arial"/>
          <w:sz w:val="24"/>
        </w:rPr>
        <w:t>, para análise de seus aspectos constitucional, legal e jurídico, nos termos do disposto pelo artigo 134, §1º do já citado Regimento Interno.</w:t>
      </w:r>
    </w:p>
    <w:p w14:paraId="5EE674C8" w14:textId="7183F0F5" w:rsidR="00A81476" w:rsidRDefault="00A81476" w:rsidP="00D13341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Compete-nos nesta oportunidade, em atendimento às determinações do §1º do artigo 40 do Regimento Interno, analisar a propositura quanto aos aspectos </w:t>
      </w:r>
      <w:r w:rsidR="0047659D">
        <w:rPr>
          <w:rFonts w:ascii="Arial" w:hAnsi="Arial" w:cs="Arial"/>
          <w:sz w:val="24"/>
        </w:rPr>
        <w:t>legais</w:t>
      </w:r>
      <w:r>
        <w:rPr>
          <w:rFonts w:ascii="Arial" w:hAnsi="Arial" w:cs="Arial"/>
          <w:sz w:val="24"/>
        </w:rPr>
        <w:t>.</w:t>
      </w:r>
    </w:p>
    <w:p w14:paraId="4A1B13A5" w14:textId="77777777" w:rsidR="00C30DC5" w:rsidRDefault="00C30DC5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0BCD7C82" w14:textId="77777777" w:rsidR="00A81476" w:rsidRPr="004049C0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 xml:space="preserve">II – VOTO DO RELATOR </w:t>
      </w:r>
    </w:p>
    <w:p w14:paraId="62CF7B01" w14:textId="77777777" w:rsidR="00AE6B53" w:rsidRDefault="00427AE3">
      <w:pPr>
        <w:divId w:val="849291791"/>
        <w:rPr>
          <w:rStyle w:val="Forte"/>
          <w:rFonts w:ascii="Roboto" w:eastAsia="Times New Roman" w:hAnsi="Roboto"/>
          <w:sz w:val="21"/>
          <w:szCs w:val="21"/>
        </w:rPr>
      </w:pPr>
      <w:r>
        <w:rPr>
          <w:rFonts w:ascii="Arial" w:hAnsi="Arial" w:cs="Arial"/>
          <w:sz w:val="24"/>
        </w:rPr>
        <w:t xml:space="preserve">É Público e notório que o </w:t>
      </w:r>
      <w:r w:rsidR="001F5B4D">
        <w:rPr>
          <w:rFonts w:ascii="Arial" w:hAnsi="Arial" w:cs="Arial"/>
          <w:sz w:val="24"/>
        </w:rPr>
        <w:t xml:space="preserve">artigo </w:t>
      </w:r>
      <w:r w:rsidR="00073E61">
        <w:rPr>
          <w:rFonts w:ascii="Arial" w:hAnsi="Arial" w:cs="Arial"/>
          <w:sz w:val="24"/>
        </w:rPr>
        <w:t>227</w:t>
      </w:r>
      <w:r w:rsidR="001F5B4D">
        <w:rPr>
          <w:rFonts w:ascii="Arial" w:hAnsi="Arial" w:cs="Arial"/>
          <w:sz w:val="24"/>
        </w:rPr>
        <w:t xml:space="preserve">, parágrafo 3, inciso VI </w:t>
      </w:r>
      <w:r>
        <w:rPr>
          <w:rFonts w:ascii="Arial" w:hAnsi="Arial" w:cs="Arial"/>
          <w:sz w:val="24"/>
        </w:rPr>
        <w:t>da Constituição Federal de 1988,</w:t>
      </w:r>
      <w:r w:rsidR="00682495">
        <w:rPr>
          <w:rFonts w:ascii="Arial" w:hAnsi="Arial" w:cs="Arial"/>
          <w:sz w:val="24"/>
        </w:rPr>
        <w:t xml:space="preserve"> prevê </w:t>
      </w:r>
      <w:r w:rsidR="00AE6B53">
        <w:rPr>
          <w:rFonts w:ascii="Arial" w:hAnsi="Arial" w:cs="Arial"/>
          <w:sz w:val="24"/>
        </w:rPr>
        <w:t>que;</w:t>
      </w:r>
    </w:p>
    <w:p w14:paraId="14858EE3" w14:textId="0DB7E4C1" w:rsidR="00E11220" w:rsidRPr="00AE6B53" w:rsidRDefault="00E11220">
      <w:pPr>
        <w:divId w:val="849291791"/>
        <w:rPr>
          <w:rFonts w:ascii="Roboto" w:eastAsia="Times New Roman" w:hAnsi="Roboto"/>
          <w:b/>
          <w:bCs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Art. 227.</w:t>
      </w:r>
      <w:r>
        <w:rPr>
          <w:rFonts w:ascii="Roboto" w:eastAsia="Times New Roman" w:hAnsi="Roboto"/>
          <w:sz w:val="21"/>
          <w:szCs w:val="21"/>
        </w:rPr>
        <w:t> 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(Redação dada Pela Emenda Constitucional nº 65, de 2010)</w:t>
      </w:r>
    </w:p>
    <w:p w14:paraId="62C74AA4" w14:textId="77777777" w:rsidR="00E11220" w:rsidRDefault="00E11220">
      <w:pPr>
        <w:divId w:val="90664689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§ 3º</w:t>
      </w:r>
      <w:r>
        <w:rPr>
          <w:rFonts w:ascii="Roboto" w:eastAsia="Times New Roman" w:hAnsi="Roboto"/>
          <w:sz w:val="21"/>
          <w:szCs w:val="21"/>
        </w:rPr>
        <w:t> O direito a proteção especial abrangerá os seguintes aspectos:</w:t>
      </w:r>
    </w:p>
    <w:p w14:paraId="12876DEB" w14:textId="77777777" w:rsidR="00E11220" w:rsidRDefault="00E11220">
      <w:pPr>
        <w:divId w:val="1294750562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VI</w:t>
      </w:r>
      <w:r>
        <w:rPr>
          <w:rFonts w:ascii="Roboto" w:eastAsia="Times New Roman" w:hAnsi="Roboto"/>
          <w:sz w:val="21"/>
          <w:szCs w:val="21"/>
        </w:rPr>
        <w:t> - estímulo do Poder Público, através de assistência jurídica, incentivos fiscais e subsídios, nos termos da lei, ao acolhimento, sob a forma de guarda, de criança ou adolescente órfão ou abandonado;</w:t>
      </w:r>
    </w:p>
    <w:p w14:paraId="0C0E2350" w14:textId="17DC42F6" w:rsidR="00294DD4" w:rsidRDefault="005003B8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Sobre </w:t>
      </w:r>
      <w:r w:rsidR="006E300D">
        <w:rPr>
          <w:rFonts w:ascii="Arial" w:hAnsi="Arial" w:cs="Arial"/>
          <w:sz w:val="24"/>
        </w:rPr>
        <w:t>o que diz o artigo 16, parágrafo 3</w:t>
      </w:r>
      <w:r w:rsidR="0049767B">
        <w:rPr>
          <w:rFonts w:ascii="Arial" w:hAnsi="Arial" w:cs="Arial"/>
          <w:sz w:val="24"/>
        </w:rPr>
        <w:t>, da Lei de Responsabilidade Fiscal</w:t>
      </w:r>
      <w:r w:rsidR="00F1407D">
        <w:rPr>
          <w:rFonts w:ascii="Arial" w:hAnsi="Arial" w:cs="Arial"/>
          <w:sz w:val="24"/>
        </w:rPr>
        <w:t xml:space="preserve"> de 04 de maio de 20</w:t>
      </w:r>
      <w:r w:rsidR="00012F04">
        <w:rPr>
          <w:rFonts w:ascii="Arial" w:hAnsi="Arial" w:cs="Arial"/>
          <w:sz w:val="24"/>
        </w:rPr>
        <w:t>00;</w:t>
      </w:r>
    </w:p>
    <w:p w14:paraId="0E15238E" w14:textId="77777777" w:rsidR="00F57E6B" w:rsidRDefault="00F57E6B">
      <w:pPr>
        <w:divId w:val="678898325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Art. 16.</w:t>
      </w:r>
      <w:r>
        <w:rPr>
          <w:rFonts w:ascii="Roboto" w:eastAsia="Times New Roman" w:hAnsi="Roboto"/>
          <w:sz w:val="21"/>
          <w:szCs w:val="21"/>
        </w:rPr>
        <w:t> A criação, expansão ou aperfeiçoamento de ação governamental que acarrete aumento da despesa será acompanhado de: (Vide ADI 6357)</w:t>
      </w:r>
    </w:p>
    <w:p w14:paraId="5C01B116" w14:textId="77777777" w:rsidR="00F57E6B" w:rsidRDefault="00F57E6B">
      <w:pPr>
        <w:divId w:val="1027562839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I</w:t>
      </w:r>
      <w:r>
        <w:rPr>
          <w:rFonts w:ascii="Roboto" w:eastAsia="Times New Roman" w:hAnsi="Roboto"/>
          <w:sz w:val="21"/>
          <w:szCs w:val="21"/>
        </w:rPr>
        <w:t xml:space="preserve"> - estimativa do impacto orçamentário-financeiro no exercício em que deva entrar em vigor e nos dois </w:t>
      </w:r>
      <w:proofErr w:type="spellStart"/>
      <w:r>
        <w:rPr>
          <w:rFonts w:ascii="Roboto" w:eastAsia="Times New Roman" w:hAnsi="Roboto"/>
          <w:sz w:val="21"/>
          <w:szCs w:val="21"/>
        </w:rPr>
        <w:t>subseqüentes</w:t>
      </w:r>
      <w:proofErr w:type="spellEnd"/>
      <w:r>
        <w:rPr>
          <w:rFonts w:ascii="Roboto" w:eastAsia="Times New Roman" w:hAnsi="Roboto"/>
          <w:sz w:val="21"/>
          <w:szCs w:val="21"/>
        </w:rPr>
        <w:t>;</w:t>
      </w:r>
    </w:p>
    <w:p w14:paraId="47F3832A" w14:textId="77777777" w:rsidR="00F57E6B" w:rsidRDefault="00F57E6B">
      <w:pPr>
        <w:divId w:val="1804689252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II</w:t>
      </w:r>
      <w:r>
        <w:rPr>
          <w:rFonts w:ascii="Roboto" w:eastAsia="Times New Roman" w:hAnsi="Roboto"/>
          <w:sz w:val="21"/>
          <w:szCs w:val="21"/>
        </w:rPr>
        <w:t> - declaração do ordenador da despesa de que o aumento tem adequação orçamentária e financeira com a lei orçamentária anual e compatibilidade com o plano plurianual e com a lei de diretrizes orçamentárias.</w:t>
      </w:r>
    </w:p>
    <w:p w14:paraId="63FBCADB" w14:textId="77777777" w:rsidR="00F57E6B" w:rsidRDefault="00F57E6B">
      <w:pPr>
        <w:divId w:val="829180992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§ 1o</w:t>
      </w:r>
      <w:r>
        <w:rPr>
          <w:rFonts w:ascii="Roboto" w:eastAsia="Times New Roman" w:hAnsi="Roboto"/>
          <w:sz w:val="21"/>
          <w:szCs w:val="21"/>
        </w:rPr>
        <w:t> Para os fins desta Lei Complementar, considera-se:</w:t>
      </w:r>
    </w:p>
    <w:p w14:paraId="4DA22347" w14:textId="77777777" w:rsidR="00F57E6B" w:rsidRDefault="00F57E6B">
      <w:pPr>
        <w:divId w:val="1689139785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I</w:t>
      </w:r>
      <w:r>
        <w:rPr>
          <w:rFonts w:ascii="Roboto" w:eastAsia="Times New Roman" w:hAnsi="Roboto"/>
          <w:sz w:val="21"/>
          <w:szCs w:val="21"/>
        </w:rPr>
        <w:t xml:space="preserve"> - adequada com a lei orçamentária anual, a despesa objeto de dotação específica e suficiente, ou que esteja abrangida por crédito genérico, de forma que somadas todas as </w:t>
      </w:r>
      <w:r>
        <w:rPr>
          <w:rFonts w:ascii="Roboto" w:eastAsia="Times New Roman" w:hAnsi="Roboto"/>
          <w:sz w:val="21"/>
          <w:szCs w:val="21"/>
        </w:rPr>
        <w:lastRenderedPageBreak/>
        <w:t>despesas da mesma espécie, realizadas e a realizar, previstas no programa de trabalho, não sejam ultrapassados os limites estabelecidos para o exercício;</w:t>
      </w:r>
    </w:p>
    <w:p w14:paraId="60302DF6" w14:textId="77777777" w:rsidR="00F57E6B" w:rsidRDefault="00F57E6B">
      <w:pPr>
        <w:divId w:val="248465059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II</w:t>
      </w:r>
      <w:r>
        <w:rPr>
          <w:rFonts w:ascii="Roboto" w:eastAsia="Times New Roman" w:hAnsi="Roboto"/>
          <w:sz w:val="21"/>
          <w:szCs w:val="21"/>
        </w:rPr>
        <w:t> - compatível com o plano plurianual e a lei de diretrizes orçamentárias, a despesa que se conforme com as diretrizes, objetivos, prioridades e metas previstos nesses instrumentos e não infrinja qualquer de suas disposições.</w:t>
      </w:r>
    </w:p>
    <w:p w14:paraId="33602809" w14:textId="77777777" w:rsidR="00F57E6B" w:rsidRDefault="00F57E6B">
      <w:pPr>
        <w:divId w:val="1927419531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§ 2o</w:t>
      </w:r>
      <w:r>
        <w:rPr>
          <w:rFonts w:ascii="Roboto" w:eastAsia="Times New Roman" w:hAnsi="Roboto"/>
          <w:sz w:val="21"/>
          <w:szCs w:val="21"/>
        </w:rPr>
        <w:t> A estimativa de que trata o inciso I do caput será acompanhada das premissas e metodologia de cálculo utilizadas.</w:t>
      </w:r>
    </w:p>
    <w:p w14:paraId="0AECA9CE" w14:textId="77777777" w:rsidR="00F57E6B" w:rsidRDefault="00F57E6B">
      <w:pPr>
        <w:divId w:val="1363365494"/>
        <w:rPr>
          <w:rFonts w:ascii="Roboto" w:eastAsia="Times New Roman" w:hAnsi="Roboto"/>
          <w:sz w:val="21"/>
          <w:szCs w:val="21"/>
        </w:rPr>
      </w:pPr>
      <w:r>
        <w:rPr>
          <w:rStyle w:val="Forte"/>
          <w:rFonts w:ascii="Roboto" w:eastAsia="Times New Roman" w:hAnsi="Roboto"/>
          <w:sz w:val="21"/>
          <w:szCs w:val="21"/>
        </w:rPr>
        <w:t>§ 3o</w:t>
      </w:r>
      <w:r>
        <w:rPr>
          <w:rFonts w:ascii="Roboto" w:eastAsia="Times New Roman" w:hAnsi="Roboto"/>
          <w:sz w:val="21"/>
          <w:szCs w:val="21"/>
        </w:rPr>
        <w:t> Ressalva-se do disposto neste artigo a despesa considerada irrelevante, nos termos em que dispuser a lei de diretrizes orçamentárias.</w:t>
      </w:r>
    </w:p>
    <w:p w14:paraId="78019F98" w14:textId="77777777" w:rsidR="00012F04" w:rsidRDefault="00012F04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14:paraId="0A18A639" w14:textId="27CA0427"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Quanto à matéria de fundo, não há qualquer violação ao conteúdo material da CF/88 e da CF/AP. </w:t>
      </w:r>
    </w:p>
    <w:p w14:paraId="54F4A345" w14:textId="653EEF11" w:rsidR="007156D9" w:rsidRPr="007156D9" w:rsidRDefault="007156D9" w:rsidP="003219D3">
      <w:pPr>
        <w:pStyle w:val="PargrafodaLista"/>
        <w:spacing w:line="276" w:lineRule="auto"/>
        <w:ind w:left="0" w:firstLine="709"/>
        <w:jc w:val="both"/>
        <w:rPr>
          <w:rFonts w:ascii="Arial" w:hAnsi="Arial" w:cs="Arial"/>
          <w:sz w:val="24"/>
        </w:rPr>
      </w:pPr>
    </w:p>
    <w:p w14:paraId="0AE4D3D8" w14:textId="184827EA" w:rsidR="00E310CA" w:rsidRDefault="00E310CA" w:rsidP="00083A85">
      <w:pPr>
        <w:spacing w:line="276" w:lineRule="auto"/>
        <w:rPr>
          <w:rFonts w:ascii="Arial" w:hAnsi="Arial" w:cs="Arial"/>
          <w:b/>
          <w:sz w:val="24"/>
        </w:rPr>
      </w:pPr>
    </w:p>
    <w:p w14:paraId="23300CB5" w14:textId="77777777" w:rsidR="007156D9" w:rsidRDefault="007156D9" w:rsidP="00083A85">
      <w:pPr>
        <w:spacing w:line="276" w:lineRule="auto"/>
        <w:rPr>
          <w:rFonts w:ascii="Arial" w:hAnsi="Arial" w:cs="Arial"/>
          <w:b/>
          <w:sz w:val="24"/>
        </w:rPr>
      </w:pPr>
    </w:p>
    <w:p w14:paraId="079FC948" w14:textId="77777777" w:rsidR="00A81476" w:rsidRPr="00E310CA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E310CA">
        <w:rPr>
          <w:rFonts w:ascii="Arial" w:hAnsi="Arial" w:cs="Arial"/>
          <w:b/>
          <w:sz w:val="24"/>
        </w:rPr>
        <w:t>Vereador Adelson de Rocha – PCdoB</w:t>
      </w:r>
    </w:p>
    <w:p w14:paraId="17F99165" w14:textId="77777777" w:rsidR="00A81476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Relator</w:t>
      </w:r>
    </w:p>
    <w:p w14:paraId="5C4B990B" w14:textId="77777777"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14:paraId="5B3B3487" w14:textId="77777777"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14:paraId="095B10B6" w14:textId="4AD84F85" w:rsidR="00A81476" w:rsidRPr="004049C0" w:rsidRDefault="007156D9" w:rsidP="00E310CA">
      <w:pPr>
        <w:spacing w:line="276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>CFO</w:t>
      </w:r>
      <w:r w:rsidR="00E310CA" w:rsidRPr="00E54FB9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, </w:t>
      </w:r>
      <w:r w:rsidR="005E44C6">
        <w:rPr>
          <w:rFonts w:ascii="Arial" w:hAnsi="Arial" w:cs="Arial"/>
          <w:color w:val="212529"/>
          <w:sz w:val="24"/>
          <w:szCs w:val="24"/>
          <w:shd w:val="clear" w:color="auto" w:fill="F7F7F7"/>
        </w:rPr>
        <w:t>25</w:t>
      </w:r>
      <w:r w:rsidR="00E310CA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de </w:t>
      </w:r>
      <w:r w:rsidR="00562348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outubro </w:t>
      </w:r>
      <w:r w:rsidR="00E310CA">
        <w:rPr>
          <w:rFonts w:ascii="Arial" w:hAnsi="Arial" w:cs="Arial"/>
          <w:color w:val="212529"/>
          <w:sz w:val="24"/>
          <w:szCs w:val="24"/>
          <w:shd w:val="clear" w:color="auto" w:fill="F7F7F7"/>
        </w:rPr>
        <w:t>de 202</w:t>
      </w:r>
      <w:r w:rsidR="00562348">
        <w:rPr>
          <w:rFonts w:ascii="Arial" w:hAnsi="Arial" w:cs="Arial"/>
          <w:color w:val="212529"/>
          <w:sz w:val="24"/>
          <w:szCs w:val="24"/>
          <w:shd w:val="clear" w:color="auto" w:fill="F7F7F7"/>
        </w:rPr>
        <w:t>2</w:t>
      </w:r>
    </w:p>
    <w:p w14:paraId="059CDEA7" w14:textId="77777777" w:rsidR="00C30DC5" w:rsidRDefault="00C30DC5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14:paraId="6E16598C" w14:textId="77777777" w:rsidR="00E310CA" w:rsidRPr="004049C0" w:rsidRDefault="00E310CA" w:rsidP="00083A85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VOTOS PELA APROVAÇÃO</w:t>
      </w:r>
    </w:p>
    <w:p w14:paraId="6A76487E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14:paraId="56C7F4B2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Bruno Souza - PSD</w:t>
      </w:r>
    </w:p>
    <w:p w14:paraId="50033238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14:paraId="25AA7B37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14:paraId="1845C3E6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Adelson de Rocha – PCdoB</w:t>
      </w:r>
    </w:p>
    <w:p w14:paraId="47791D01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RELATOR</w:t>
      </w:r>
    </w:p>
    <w:p w14:paraId="0C5A9006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14:paraId="0953F5CC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Carmem Queiroz - PP</w:t>
      </w:r>
    </w:p>
    <w:p w14:paraId="75094EC0" w14:textId="77777777"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MEMBRO</w:t>
      </w:r>
      <w:bookmarkStart w:id="1" w:name="_GoBack"/>
      <w:bookmarkEnd w:id="1"/>
    </w:p>
    <w:sectPr w:rsidR="00E310CA" w:rsidSect="001472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EAC75" w14:textId="77777777" w:rsidR="0075485F" w:rsidRDefault="0075485F">
      <w:pPr>
        <w:spacing w:after="0" w:line="240" w:lineRule="auto"/>
      </w:pPr>
      <w:r>
        <w:separator/>
      </w:r>
    </w:p>
  </w:endnote>
  <w:endnote w:type="continuationSeparator" w:id="0">
    <w:p w14:paraId="4E7C1692" w14:textId="77777777" w:rsidR="0075485F" w:rsidRDefault="0075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BDE96" w14:textId="77777777" w:rsidR="0075485F" w:rsidRDefault="0075485F">
      <w:pPr>
        <w:spacing w:after="0" w:line="240" w:lineRule="auto"/>
      </w:pPr>
      <w:r>
        <w:separator/>
      </w:r>
    </w:p>
  </w:footnote>
  <w:footnote w:type="continuationSeparator" w:id="0">
    <w:p w14:paraId="515CC60E" w14:textId="77777777" w:rsidR="0075485F" w:rsidRDefault="0075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07E5" w14:textId="77777777"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 wp14:anchorId="0BC76508" wp14:editId="7B7B9FB2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14:paraId="06A9C505" w14:textId="77777777"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14:paraId="39F808B7" w14:textId="77777777"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5008"/>
    <w:multiLevelType w:val="hybridMultilevel"/>
    <w:tmpl w:val="38126694"/>
    <w:lvl w:ilvl="0" w:tplc="420C1E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05DAA"/>
    <w:rsid w:val="00012F04"/>
    <w:rsid w:val="00054840"/>
    <w:rsid w:val="00055A49"/>
    <w:rsid w:val="00073E61"/>
    <w:rsid w:val="00083A85"/>
    <w:rsid w:val="000C2258"/>
    <w:rsid w:val="000C45D9"/>
    <w:rsid w:val="000D2094"/>
    <w:rsid w:val="000D44E5"/>
    <w:rsid w:val="000E24E0"/>
    <w:rsid w:val="001109E0"/>
    <w:rsid w:val="00123756"/>
    <w:rsid w:val="001472CB"/>
    <w:rsid w:val="00174971"/>
    <w:rsid w:val="001E5636"/>
    <w:rsid w:val="001F0764"/>
    <w:rsid w:val="001F5B4D"/>
    <w:rsid w:val="001F66E7"/>
    <w:rsid w:val="00204FD4"/>
    <w:rsid w:val="00234042"/>
    <w:rsid w:val="002405C6"/>
    <w:rsid w:val="002423D0"/>
    <w:rsid w:val="00277008"/>
    <w:rsid w:val="00294DD4"/>
    <w:rsid w:val="002A0885"/>
    <w:rsid w:val="00313957"/>
    <w:rsid w:val="0032005E"/>
    <w:rsid w:val="003219D3"/>
    <w:rsid w:val="00334EB5"/>
    <w:rsid w:val="00373F1D"/>
    <w:rsid w:val="00375D6D"/>
    <w:rsid w:val="003C17DD"/>
    <w:rsid w:val="003E1BAD"/>
    <w:rsid w:val="00427AE3"/>
    <w:rsid w:val="0045622E"/>
    <w:rsid w:val="0047659D"/>
    <w:rsid w:val="0049767B"/>
    <w:rsid w:val="005003B8"/>
    <w:rsid w:val="00562348"/>
    <w:rsid w:val="00562CDA"/>
    <w:rsid w:val="00582377"/>
    <w:rsid w:val="005A79CE"/>
    <w:rsid w:val="005E44C6"/>
    <w:rsid w:val="00606E69"/>
    <w:rsid w:val="00616A29"/>
    <w:rsid w:val="00617C5E"/>
    <w:rsid w:val="006267F5"/>
    <w:rsid w:val="00682495"/>
    <w:rsid w:val="00687079"/>
    <w:rsid w:val="006D0FE2"/>
    <w:rsid w:val="006D130B"/>
    <w:rsid w:val="006D6684"/>
    <w:rsid w:val="006E300D"/>
    <w:rsid w:val="00707083"/>
    <w:rsid w:val="007156D9"/>
    <w:rsid w:val="0075485F"/>
    <w:rsid w:val="00770E7A"/>
    <w:rsid w:val="008D464E"/>
    <w:rsid w:val="009665A2"/>
    <w:rsid w:val="00987A90"/>
    <w:rsid w:val="009D75E0"/>
    <w:rsid w:val="009D7799"/>
    <w:rsid w:val="00A155E0"/>
    <w:rsid w:val="00A41408"/>
    <w:rsid w:val="00A81476"/>
    <w:rsid w:val="00AA65B1"/>
    <w:rsid w:val="00AE6B53"/>
    <w:rsid w:val="00B00C05"/>
    <w:rsid w:val="00B666A5"/>
    <w:rsid w:val="00C30DC5"/>
    <w:rsid w:val="00CA364E"/>
    <w:rsid w:val="00CD7E83"/>
    <w:rsid w:val="00D034E7"/>
    <w:rsid w:val="00D03537"/>
    <w:rsid w:val="00D122BC"/>
    <w:rsid w:val="00D13341"/>
    <w:rsid w:val="00DA075B"/>
    <w:rsid w:val="00DD3C47"/>
    <w:rsid w:val="00DE54BE"/>
    <w:rsid w:val="00DF5C40"/>
    <w:rsid w:val="00DF5FCD"/>
    <w:rsid w:val="00E0522A"/>
    <w:rsid w:val="00E11220"/>
    <w:rsid w:val="00E20200"/>
    <w:rsid w:val="00E310CA"/>
    <w:rsid w:val="00E64A21"/>
    <w:rsid w:val="00E73969"/>
    <w:rsid w:val="00E76304"/>
    <w:rsid w:val="00EA75CA"/>
    <w:rsid w:val="00ED402F"/>
    <w:rsid w:val="00F1407D"/>
    <w:rsid w:val="00F467E1"/>
    <w:rsid w:val="00F55333"/>
    <w:rsid w:val="00F5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ACC2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D13341"/>
  </w:style>
  <w:style w:type="paragraph" w:styleId="PargrafodaLista">
    <w:name w:val="List Paragraph"/>
    <w:basedOn w:val="Normal"/>
    <w:uiPriority w:val="34"/>
    <w:qFormat/>
    <w:rsid w:val="007156D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11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32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2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992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7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0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531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494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179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9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5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2022-10-25T20:05:00Z</cp:lastPrinted>
  <dcterms:created xsi:type="dcterms:W3CDTF">2022-10-25T20:01:00Z</dcterms:created>
  <dcterms:modified xsi:type="dcterms:W3CDTF">2022-10-25T20:09:00Z</dcterms:modified>
</cp:coreProperties>
</file>