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DC5" w:rsidRDefault="00C30DC5" w:rsidP="00744D6B">
      <w:pPr>
        <w:spacing w:line="360" w:lineRule="auto"/>
        <w:jc w:val="center"/>
        <w:rPr>
          <w:rFonts w:ascii="Arial" w:hAnsi="Arial" w:cs="Arial"/>
          <w:b/>
          <w:sz w:val="24"/>
        </w:rPr>
      </w:pPr>
      <w:bookmarkStart w:id="0" w:name="_GoBack"/>
      <w:bookmarkEnd w:id="0"/>
    </w:p>
    <w:p w:rsidR="00A81476" w:rsidRPr="004049C0" w:rsidRDefault="00E310CA" w:rsidP="00744D6B">
      <w:pPr>
        <w:spacing w:line="360" w:lineRule="auto"/>
        <w:jc w:val="center"/>
        <w:rPr>
          <w:rFonts w:ascii="Arial" w:hAnsi="Arial" w:cs="Arial"/>
          <w:b/>
          <w:sz w:val="24"/>
        </w:rPr>
      </w:pPr>
      <w:r>
        <w:rPr>
          <w:rFonts w:ascii="Arial" w:hAnsi="Arial" w:cs="Arial"/>
          <w:b/>
          <w:sz w:val="24"/>
        </w:rPr>
        <w:t>PARECER Nº ____</w:t>
      </w:r>
      <w:r w:rsidR="00A81476" w:rsidRPr="004049C0">
        <w:rPr>
          <w:rFonts w:ascii="Arial" w:hAnsi="Arial" w:cs="Arial"/>
          <w:b/>
          <w:sz w:val="24"/>
        </w:rPr>
        <w:t>/202</w:t>
      </w:r>
      <w:r w:rsidR="00744D6B">
        <w:rPr>
          <w:rFonts w:ascii="Arial" w:hAnsi="Arial" w:cs="Arial"/>
          <w:b/>
          <w:sz w:val="24"/>
        </w:rPr>
        <w:t>2</w:t>
      </w:r>
    </w:p>
    <w:p w:rsidR="00A81476" w:rsidRDefault="00A81476" w:rsidP="00744D6B">
      <w:pPr>
        <w:spacing w:line="360" w:lineRule="auto"/>
        <w:jc w:val="center"/>
        <w:rPr>
          <w:rFonts w:ascii="Arial" w:hAnsi="Arial" w:cs="Arial"/>
          <w:sz w:val="24"/>
        </w:rPr>
      </w:pPr>
    </w:p>
    <w:p w:rsidR="00A81476" w:rsidRDefault="00A81476" w:rsidP="00744D6B">
      <w:pPr>
        <w:spacing w:line="360" w:lineRule="auto"/>
        <w:ind w:left="3544"/>
        <w:jc w:val="both"/>
        <w:rPr>
          <w:rFonts w:ascii="Arial" w:hAnsi="Arial" w:cs="Arial"/>
          <w:sz w:val="24"/>
        </w:rPr>
      </w:pPr>
      <w:r>
        <w:rPr>
          <w:rFonts w:ascii="Arial" w:hAnsi="Arial" w:cs="Arial"/>
          <w:sz w:val="24"/>
        </w:rPr>
        <w:t xml:space="preserve">Da </w:t>
      </w:r>
      <w:r w:rsidR="0047659D" w:rsidRPr="00E54FB9">
        <w:rPr>
          <w:rFonts w:ascii="Arial" w:hAnsi="Arial" w:cs="Arial"/>
          <w:b/>
          <w:color w:val="000000"/>
          <w:sz w:val="24"/>
          <w:szCs w:val="24"/>
          <w:shd w:val="clear" w:color="auto" w:fill="FBFBFB"/>
        </w:rPr>
        <w:t>COMISSÃO DE ORÇAMENTO E FINANÇAS</w:t>
      </w:r>
      <w:r>
        <w:rPr>
          <w:rFonts w:ascii="Arial" w:hAnsi="Arial" w:cs="Arial"/>
          <w:sz w:val="24"/>
        </w:rPr>
        <w:t xml:space="preserve">, em decisão terminativa, ao Projeto de Lei </w:t>
      </w:r>
      <w:r w:rsidR="00744D6B">
        <w:rPr>
          <w:rFonts w:ascii="Arial" w:hAnsi="Arial" w:cs="Arial"/>
          <w:sz w:val="24"/>
        </w:rPr>
        <w:t>027</w:t>
      </w:r>
      <w:r>
        <w:rPr>
          <w:rFonts w:ascii="Arial" w:hAnsi="Arial" w:cs="Arial"/>
          <w:sz w:val="24"/>
        </w:rPr>
        <w:t>/202</w:t>
      </w:r>
      <w:r w:rsidR="00FF6186">
        <w:rPr>
          <w:rFonts w:ascii="Arial" w:hAnsi="Arial" w:cs="Arial"/>
          <w:sz w:val="24"/>
        </w:rPr>
        <w:t>2</w:t>
      </w:r>
      <w:r>
        <w:rPr>
          <w:rFonts w:ascii="Arial" w:hAnsi="Arial" w:cs="Arial"/>
          <w:sz w:val="24"/>
        </w:rPr>
        <w:t xml:space="preserve"> que</w:t>
      </w:r>
      <w:r w:rsidR="00E73969">
        <w:rPr>
          <w:rFonts w:ascii="Arial" w:hAnsi="Arial" w:cs="Arial"/>
          <w:sz w:val="24"/>
        </w:rPr>
        <w:t xml:space="preserve"> </w:t>
      </w:r>
      <w:bookmarkStart w:id="1" w:name="_Hlk106093450"/>
      <w:r w:rsidR="00744D6B">
        <w:rPr>
          <w:rFonts w:ascii="Arial" w:hAnsi="Arial" w:cs="Arial"/>
          <w:sz w:val="24"/>
        </w:rPr>
        <w:t xml:space="preserve">dispõe sobre as diretrizes para a elaboração e execução da Lei Orçamentária de 2023 </w:t>
      </w:r>
      <w:r w:rsidR="00CC326E">
        <w:rPr>
          <w:rFonts w:ascii="Arial" w:hAnsi="Arial" w:cs="Arial"/>
          <w:sz w:val="24"/>
        </w:rPr>
        <w:t xml:space="preserve">e </w:t>
      </w:r>
      <w:r w:rsidR="00F467E1">
        <w:rPr>
          <w:rFonts w:ascii="Arial" w:hAnsi="Arial" w:cs="Arial"/>
          <w:sz w:val="24"/>
        </w:rPr>
        <w:t>da outras Providências.</w:t>
      </w:r>
    </w:p>
    <w:bookmarkEnd w:id="1"/>
    <w:p w:rsidR="00E73969" w:rsidRDefault="00E73969" w:rsidP="00744D6B">
      <w:pPr>
        <w:spacing w:line="360" w:lineRule="auto"/>
        <w:ind w:left="3544"/>
        <w:jc w:val="both"/>
        <w:rPr>
          <w:rFonts w:ascii="Arial" w:hAnsi="Arial" w:cs="Arial"/>
          <w:sz w:val="24"/>
        </w:rPr>
      </w:pPr>
    </w:p>
    <w:p w:rsidR="00A81476" w:rsidRPr="004049C0" w:rsidRDefault="00174971" w:rsidP="00744D6B">
      <w:pPr>
        <w:spacing w:line="360" w:lineRule="auto"/>
        <w:jc w:val="center"/>
        <w:rPr>
          <w:rFonts w:ascii="Arial" w:hAnsi="Arial" w:cs="Arial"/>
          <w:b/>
          <w:sz w:val="24"/>
        </w:rPr>
      </w:pPr>
      <w:r>
        <w:rPr>
          <w:rFonts w:ascii="Arial" w:hAnsi="Arial" w:cs="Arial"/>
          <w:b/>
          <w:sz w:val="24"/>
        </w:rPr>
        <w:t>AUTORIA</w:t>
      </w:r>
      <w:r w:rsidR="00A81476" w:rsidRPr="004049C0">
        <w:rPr>
          <w:rFonts w:ascii="Arial" w:hAnsi="Arial" w:cs="Arial"/>
          <w:b/>
          <w:sz w:val="24"/>
        </w:rPr>
        <w:t xml:space="preserve">: </w:t>
      </w:r>
      <w:r>
        <w:rPr>
          <w:rFonts w:ascii="Arial" w:hAnsi="Arial" w:cs="Arial"/>
          <w:b/>
          <w:sz w:val="24"/>
        </w:rPr>
        <w:t>PODER EXECUTIVO MUNICIPAL</w:t>
      </w:r>
    </w:p>
    <w:p w:rsidR="00A81476" w:rsidRPr="004049C0" w:rsidRDefault="00A81476" w:rsidP="00744D6B">
      <w:pPr>
        <w:spacing w:line="360" w:lineRule="auto"/>
        <w:jc w:val="center"/>
        <w:rPr>
          <w:rFonts w:ascii="Arial" w:hAnsi="Arial" w:cs="Arial"/>
          <w:b/>
          <w:sz w:val="24"/>
        </w:rPr>
      </w:pPr>
    </w:p>
    <w:p w:rsidR="00A81476" w:rsidRPr="004049C0" w:rsidRDefault="00A81476" w:rsidP="00744D6B">
      <w:pPr>
        <w:spacing w:line="360" w:lineRule="auto"/>
        <w:jc w:val="both"/>
        <w:rPr>
          <w:rFonts w:ascii="Arial" w:hAnsi="Arial" w:cs="Arial"/>
          <w:b/>
          <w:sz w:val="24"/>
        </w:rPr>
      </w:pPr>
      <w:r w:rsidRPr="004049C0">
        <w:rPr>
          <w:rFonts w:ascii="Arial" w:hAnsi="Arial" w:cs="Arial"/>
          <w:b/>
          <w:sz w:val="24"/>
        </w:rPr>
        <w:t>I – RELATÓRIO</w:t>
      </w:r>
    </w:p>
    <w:p w:rsidR="00A868BB" w:rsidRDefault="00A868BB" w:rsidP="00A868BB">
      <w:pPr>
        <w:spacing w:line="360" w:lineRule="auto"/>
        <w:ind w:firstLine="1701"/>
        <w:jc w:val="both"/>
        <w:rPr>
          <w:rFonts w:ascii="Arial" w:hAnsi="Arial" w:cs="Arial"/>
          <w:sz w:val="24"/>
        </w:rPr>
      </w:pPr>
      <w:r w:rsidRPr="00A868BB">
        <w:rPr>
          <w:rFonts w:ascii="Arial" w:hAnsi="Arial" w:cs="Arial"/>
          <w:sz w:val="24"/>
        </w:rPr>
        <w:t>O Excelentíssimo Senhor Prefeito d</w:t>
      </w:r>
      <w:r>
        <w:rPr>
          <w:rFonts w:ascii="Arial" w:hAnsi="Arial" w:cs="Arial"/>
          <w:sz w:val="24"/>
        </w:rPr>
        <w:t>o Munícipio de Santana/AP</w:t>
      </w:r>
      <w:r w:rsidRPr="00A868BB">
        <w:rPr>
          <w:rFonts w:ascii="Arial" w:hAnsi="Arial" w:cs="Arial"/>
          <w:sz w:val="24"/>
        </w:rPr>
        <w:t>, no cumprimento de</w:t>
      </w:r>
      <w:r>
        <w:rPr>
          <w:rFonts w:ascii="Arial" w:hAnsi="Arial" w:cs="Arial"/>
          <w:sz w:val="24"/>
        </w:rPr>
        <w:t xml:space="preserve"> </w:t>
      </w:r>
      <w:r w:rsidRPr="00A868BB">
        <w:rPr>
          <w:rFonts w:ascii="Arial" w:hAnsi="Arial" w:cs="Arial"/>
          <w:sz w:val="24"/>
        </w:rPr>
        <w:t xml:space="preserve">suas prerrogativas, encaminhou à Câmara Municipal de </w:t>
      </w:r>
      <w:r>
        <w:rPr>
          <w:rFonts w:ascii="Arial" w:hAnsi="Arial" w:cs="Arial"/>
          <w:sz w:val="24"/>
        </w:rPr>
        <w:t>Santana</w:t>
      </w:r>
      <w:r w:rsidRPr="00A868BB">
        <w:rPr>
          <w:rFonts w:ascii="Arial" w:hAnsi="Arial" w:cs="Arial"/>
          <w:sz w:val="24"/>
        </w:rPr>
        <w:t xml:space="preserve"> o projeto de lei que</w:t>
      </w:r>
      <w:r>
        <w:rPr>
          <w:rFonts w:ascii="Arial" w:hAnsi="Arial" w:cs="Arial"/>
          <w:sz w:val="24"/>
        </w:rPr>
        <w:t xml:space="preserve"> </w:t>
      </w:r>
      <w:r w:rsidRPr="00A868BB">
        <w:rPr>
          <w:rFonts w:ascii="Arial" w:hAnsi="Arial" w:cs="Arial"/>
          <w:sz w:val="24"/>
        </w:rPr>
        <w:t>trata das diretrizes orçamentárias para 202</w:t>
      </w:r>
      <w:r>
        <w:rPr>
          <w:rFonts w:ascii="Arial" w:hAnsi="Arial" w:cs="Arial"/>
          <w:sz w:val="24"/>
        </w:rPr>
        <w:t>3</w:t>
      </w:r>
      <w:r w:rsidRPr="00A868BB">
        <w:rPr>
          <w:rFonts w:ascii="Arial" w:hAnsi="Arial" w:cs="Arial"/>
          <w:sz w:val="24"/>
        </w:rPr>
        <w:t xml:space="preserve"> – LDO 202</w:t>
      </w:r>
      <w:r>
        <w:rPr>
          <w:rFonts w:ascii="Arial" w:hAnsi="Arial" w:cs="Arial"/>
          <w:sz w:val="24"/>
        </w:rPr>
        <w:t>3 e dá outras providências</w:t>
      </w:r>
      <w:r w:rsidRPr="00A868BB">
        <w:rPr>
          <w:rFonts w:ascii="Arial" w:hAnsi="Arial" w:cs="Arial"/>
          <w:sz w:val="24"/>
        </w:rPr>
        <w:t>. No âmbito da Câmara</w:t>
      </w:r>
      <w:r>
        <w:rPr>
          <w:rFonts w:ascii="Arial" w:hAnsi="Arial" w:cs="Arial"/>
          <w:sz w:val="24"/>
        </w:rPr>
        <w:t xml:space="preserve"> </w:t>
      </w:r>
      <w:r w:rsidRPr="00A868BB">
        <w:rPr>
          <w:rFonts w:ascii="Arial" w:hAnsi="Arial" w:cs="Arial"/>
          <w:sz w:val="24"/>
        </w:rPr>
        <w:t>Municipal de S</w:t>
      </w:r>
      <w:r>
        <w:rPr>
          <w:rFonts w:ascii="Arial" w:hAnsi="Arial" w:cs="Arial"/>
          <w:sz w:val="24"/>
        </w:rPr>
        <w:t>antana</w:t>
      </w:r>
      <w:r w:rsidRPr="00A868BB">
        <w:rPr>
          <w:rFonts w:ascii="Arial" w:hAnsi="Arial" w:cs="Arial"/>
          <w:sz w:val="24"/>
        </w:rPr>
        <w:t xml:space="preserve">, o projeto tomou a forma do Projeto de Lei nº </w:t>
      </w:r>
      <w:r>
        <w:rPr>
          <w:rFonts w:ascii="Arial" w:hAnsi="Arial" w:cs="Arial"/>
          <w:sz w:val="24"/>
        </w:rPr>
        <w:t>027</w:t>
      </w:r>
      <w:r w:rsidRPr="00A868BB">
        <w:rPr>
          <w:rFonts w:ascii="Arial" w:hAnsi="Arial" w:cs="Arial"/>
          <w:sz w:val="24"/>
        </w:rPr>
        <w:t>/202</w:t>
      </w:r>
      <w:r>
        <w:rPr>
          <w:rFonts w:ascii="Arial" w:hAnsi="Arial" w:cs="Arial"/>
          <w:sz w:val="24"/>
        </w:rPr>
        <w:t>2</w:t>
      </w:r>
      <w:r w:rsidRPr="00A868BB">
        <w:rPr>
          <w:rFonts w:ascii="Arial" w:hAnsi="Arial" w:cs="Arial"/>
          <w:sz w:val="24"/>
        </w:rPr>
        <w:t>, do</w:t>
      </w:r>
      <w:r>
        <w:rPr>
          <w:rFonts w:ascii="Arial" w:hAnsi="Arial" w:cs="Arial"/>
          <w:sz w:val="24"/>
        </w:rPr>
        <w:t xml:space="preserve"> </w:t>
      </w:r>
      <w:r w:rsidRPr="00A868BB">
        <w:rPr>
          <w:rFonts w:ascii="Arial" w:hAnsi="Arial" w:cs="Arial"/>
          <w:sz w:val="24"/>
        </w:rPr>
        <w:t>qual trata este parecer.</w:t>
      </w:r>
    </w:p>
    <w:p w:rsidR="00A868BB" w:rsidRDefault="00A868BB" w:rsidP="00A868BB">
      <w:pPr>
        <w:spacing w:line="360" w:lineRule="auto"/>
        <w:ind w:firstLine="1701"/>
        <w:jc w:val="both"/>
        <w:rPr>
          <w:rFonts w:ascii="Arial" w:hAnsi="Arial" w:cs="Arial"/>
          <w:sz w:val="24"/>
        </w:rPr>
      </w:pPr>
      <w:r w:rsidRPr="00A868BB">
        <w:rPr>
          <w:rFonts w:ascii="Arial" w:hAnsi="Arial" w:cs="Arial"/>
          <w:sz w:val="24"/>
        </w:rPr>
        <w:t>A LDO executa papel de grande relevância na estrutura de</w:t>
      </w:r>
      <w:r>
        <w:rPr>
          <w:rFonts w:ascii="Arial" w:hAnsi="Arial" w:cs="Arial"/>
          <w:sz w:val="24"/>
        </w:rPr>
        <w:t xml:space="preserve"> </w:t>
      </w:r>
      <w:r w:rsidRPr="00A868BB">
        <w:rPr>
          <w:rFonts w:ascii="Arial" w:hAnsi="Arial" w:cs="Arial"/>
          <w:sz w:val="24"/>
        </w:rPr>
        <w:t>planejamento da administração pública, por estabelecer metas e prioridades para o</w:t>
      </w:r>
      <w:r>
        <w:rPr>
          <w:rFonts w:ascii="Arial" w:hAnsi="Arial" w:cs="Arial"/>
          <w:sz w:val="24"/>
        </w:rPr>
        <w:t xml:space="preserve"> </w:t>
      </w:r>
      <w:r w:rsidRPr="00A868BB">
        <w:rPr>
          <w:rFonts w:ascii="Arial" w:hAnsi="Arial" w:cs="Arial"/>
          <w:sz w:val="24"/>
        </w:rPr>
        <w:t>próximo exercício, diretrizes para a elaboração da lei orçamentária e fixar normas para</w:t>
      </w:r>
      <w:r>
        <w:rPr>
          <w:rFonts w:ascii="Arial" w:hAnsi="Arial" w:cs="Arial"/>
          <w:sz w:val="24"/>
        </w:rPr>
        <w:t xml:space="preserve"> </w:t>
      </w:r>
      <w:r w:rsidRPr="00A868BB">
        <w:rPr>
          <w:rFonts w:ascii="Arial" w:hAnsi="Arial" w:cs="Arial"/>
          <w:sz w:val="24"/>
        </w:rPr>
        <w:t>a execução das despesas. Além disso, após a vigência da Lei Complementar nº 101 de</w:t>
      </w:r>
      <w:r>
        <w:rPr>
          <w:rFonts w:ascii="Arial" w:hAnsi="Arial" w:cs="Arial"/>
          <w:sz w:val="24"/>
        </w:rPr>
        <w:t xml:space="preserve"> </w:t>
      </w:r>
      <w:r w:rsidRPr="00A868BB">
        <w:rPr>
          <w:rFonts w:ascii="Arial" w:hAnsi="Arial" w:cs="Arial"/>
          <w:sz w:val="24"/>
        </w:rPr>
        <w:t>2000, Lei de Responsabilidade Fiscal – LRF, a LDO assumiu função central na gestão</w:t>
      </w:r>
      <w:r>
        <w:rPr>
          <w:rFonts w:ascii="Arial" w:hAnsi="Arial" w:cs="Arial"/>
          <w:sz w:val="24"/>
        </w:rPr>
        <w:t xml:space="preserve"> </w:t>
      </w:r>
      <w:r w:rsidRPr="00A868BB">
        <w:rPr>
          <w:rFonts w:ascii="Arial" w:hAnsi="Arial" w:cs="Arial"/>
          <w:sz w:val="24"/>
        </w:rPr>
        <w:t>fiscal do Poder Público, mediante a fixação de metas fiscais aplicáveis à elaboração e</w:t>
      </w:r>
      <w:r>
        <w:rPr>
          <w:rFonts w:ascii="Arial" w:hAnsi="Arial" w:cs="Arial"/>
          <w:sz w:val="24"/>
        </w:rPr>
        <w:t xml:space="preserve"> </w:t>
      </w:r>
      <w:r w:rsidRPr="00A868BB">
        <w:rPr>
          <w:rFonts w:ascii="Arial" w:hAnsi="Arial" w:cs="Arial"/>
          <w:sz w:val="24"/>
        </w:rPr>
        <w:t>execução do orçamento. Entre outras atribuições, a LDO também dispõe sobre a</w:t>
      </w:r>
      <w:r>
        <w:rPr>
          <w:rFonts w:ascii="Arial" w:hAnsi="Arial" w:cs="Arial"/>
          <w:sz w:val="24"/>
        </w:rPr>
        <w:t xml:space="preserve"> </w:t>
      </w:r>
      <w:r w:rsidRPr="00A868BB">
        <w:rPr>
          <w:rFonts w:ascii="Arial" w:hAnsi="Arial" w:cs="Arial"/>
          <w:sz w:val="24"/>
        </w:rPr>
        <w:t>autorização para despesas com pessoal e encargos; orientações relativas à execução</w:t>
      </w:r>
      <w:r>
        <w:rPr>
          <w:rFonts w:ascii="Arial" w:hAnsi="Arial" w:cs="Arial"/>
          <w:sz w:val="24"/>
        </w:rPr>
        <w:t xml:space="preserve"> </w:t>
      </w:r>
      <w:r w:rsidRPr="00A868BB">
        <w:rPr>
          <w:rFonts w:ascii="Arial" w:hAnsi="Arial" w:cs="Arial"/>
          <w:sz w:val="24"/>
        </w:rPr>
        <w:t xml:space="preserve">orçamentária; alterações </w:t>
      </w:r>
      <w:r w:rsidRPr="00A868BB">
        <w:rPr>
          <w:rFonts w:ascii="Arial" w:hAnsi="Arial" w:cs="Arial"/>
          <w:sz w:val="24"/>
        </w:rPr>
        <w:lastRenderedPageBreak/>
        <w:t>na legislação tributária, contingenciamento das despesas</w:t>
      </w:r>
      <w:r>
        <w:rPr>
          <w:rFonts w:ascii="Arial" w:hAnsi="Arial" w:cs="Arial"/>
          <w:sz w:val="24"/>
        </w:rPr>
        <w:t xml:space="preserve"> </w:t>
      </w:r>
      <w:r w:rsidRPr="00A868BB">
        <w:rPr>
          <w:rFonts w:ascii="Arial" w:hAnsi="Arial" w:cs="Arial"/>
          <w:sz w:val="24"/>
        </w:rPr>
        <w:t>bem como normas relacionadas à transparência da gestão pública.</w:t>
      </w:r>
    </w:p>
    <w:p w:rsidR="00A868BB" w:rsidRDefault="00A868BB" w:rsidP="00A868BB">
      <w:pPr>
        <w:spacing w:line="360" w:lineRule="auto"/>
        <w:ind w:firstLine="1701"/>
        <w:jc w:val="both"/>
        <w:rPr>
          <w:rFonts w:ascii="Arial" w:hAnsi="Arial" w:cs="Arial"/>
          <w:sz w:val="24"/>
        </w:rPr>
      </w:pPr>
      <w:r w:rsidRPr="00A868BB">
        <w:rPr>
          <w:rFonts w:ascii="Arial" w:hAnsi="Arial" w:cs="Arial"/>
          <w:sz w:val="24"/>
        </w:rPr>
        <w:t>Portanto, a presente propositura trata das metas e prioridades da administração</w:t>
      </w:r>
      <w:r>
        <w:rPr>
          <w:rFonts w:ascii="Arial" w:hAnsi="Arial" w:cs="Arial"/>
          <w:sz w:val="24"/>
        </w:rPr>
        <w:t xml:space="preserve"> </w:t>
      </w:r>
      <w:r w:rsidRPr="00A868BB">
        <w:rPr>
          <w:rFonts w:ascii="Arial" w:hAnsi="Arial" w:cs="Arial"/>
          <w:sz w:val="24"/>
        </w:rPr>
        <w:t>municipal para o exercício de 202</w:t>
      </w:r>
      <w:r>
        <w:rPr>
          <w:rFonts w:ascii="Arial" w:hAnsi="Arial" w:cs="Arial"/>
          <w:sz w:val="24"/>
        </w:rPr>
        <w:t>3</w:t>
      </w:r>
      <w:r w:rsidRPr="00A868BB">
        <w:rPr>
          <w:rFonts w:ascii="Arial" w:hAnsi="Arial" w:cs="Arial"/>
          <w:sz w:val="24"/>
        </w:rPr>
        <w:t>, orientando, ademais, a elaboração da lei</w:t>
      </w:r>
      <w:r>
        <w:rPr>
          <w:rFonts w:ascii="Arial" w:hAnsi="Arial" w:cs="Arial"/>
          <w:sz w:val="24"/>
        </w:rPr>
        <w:t xml:space="preserve"> </w:t>
      </w:r>
      <w:r w:rsidRPr="00A868BB">
        <w:rPr>
          <w:rFonts w:ascii="Arial" w:hAnsi="Arial" w:cs="Arial"/>
          <w:sz w:val="24"/>
        </w:rPr>
        <w:t>orçamentária anual. Em seus</w:t>
      </w:r>
      <w:r>
        <w:rPr>
          <w:rFonts w:ascii="Arial" w:hAnsi="Arial" w:cs="Arial"/>
          <w:sz w:val="24"/>
        </w:rPr>
        <w:t xml:space="preserve"> </w:t>
      </w:r>
      <w:r w:rsidRPr="00A868BB">
        <w:rPr>
          <w:rFonts w:ascii="Arial" w:hAnsi="Arial" w:cs="Arial"/>
          <w:sz w:val="24"/>
        </w:rPr>
        <w:t>anexos, além das citadas prioridades, são estabelecidas metas anuais, em valores</w:t>
      </w:r>
      <w:r>
        <w:rPr>
          <w:rFonts w:ascii="Arial" w:hAnsi="Arial" w:cs="Arial"/>
          <w:sz w:val="24"/>
        </w:rPr>
        <w:t xml:space="preserve"> </w:t>
      </w:r>
      <w:r w:rsidRPr="00A868BB">
        <w:rPr>
          <w:rFonts w:ascii="Arial" w:hAnsi="Arial" w:cs="Arial"/>
          <w:sz w:val="24"/>
        </w:rPr>
        <w:t>correntes e constantes, relativas a receitas, despesas, resultados nominal e primário,</w:t>
      </w:r>
      <w:r>
        <w:rPr>
          <w:rFonts w:ascii="Arial" w:hAnsi="Arial" w:cs="Arial"/>
          <w:sz w:val="24"/>
        </w:rPr>
        <w:t xml:space="preserve"> </w:t>
      </w:r>
      <w:r w:rsidRPr="00A868BB">
        <w:rPr>
          <w:rFonts w:ascii="Arial" w:hAnsi="Arial" w:cs="Arial"/>
          <w:sz w:val="24"/>
        </w:rPr>
        <w:t>montante da dívida pública, discutidos os riscos fiscais, dentre outros tópicos.</w:t>
      </w:r>
    </w:p>
    <w:p w:rsidR="00A81476" w:rsidRDefault="00A868BB" w:rsidP="00A868BB">
      <w:pPr>
        <w:spacing w:line="360" w:lineRule="auto"/>
        <w:ind w:firstLine="1701"/>
        <w:jc w:val="both"/>
        <w:rPr>
          <w:rFonts w:ascii="Arial" w:hAnsi="Arial" w:cs="Arial"/>
          <w:sz w:val="24"/>
        </w:rPr>
      </w:pPr>
      <w:r>
        <w:rPr>
          <w:rFonts w:ascii="Arial" w:hAnsi="Arial" w:cs="Arial"/>
          <w:sz w:val="24"/>
        </w:rPr>
        <w:t>Dito isto, c</w:t>
      </w:r>
      <w:r w:rsidR="00A81476">
        <w:rPr>
          <w:rFonts w:ascii="Arial" w:hAnsi="Arial" w:cs="Arial"/>
          <w:sz w:val="24"/>
        </w:rPr>
        <w:t>ompete</w:t>
      </w:r>
      <w:r>
        <w:rPr>
          <w:rFonts w:ascii="Arial" w:hAnsi="Arial" w:cs="Arial"/>
          <w:sz w:val="24"/>
        </w:rPr>
        <w:t xml:space="preserve"> a está Comissão,</w:t>
      </w:r>
      <w:r w:rsidR="00A81476">
        <w:rPr>
          <w:rFonts w:ascii="Arial" w:hAnsi="Arial" w:cs="Arial"/>
          <w:sz w:val="24"/>
        </w:rPr>
        <w:t xml:space="preserve"> nesta oportunidade, em atendimento às determinações do §1º do artigo 40 do Regimento Interno, analisar a propositura quanto aos aspectos </w:t>
      </w:r>
      <w:r w:rsidR="0047659D">
        <w:rPr>
          <w:rFonts w:ascii="Arial" w:hAnsi="Arial" w:cs="Arial"/>
          <w:sz w:val="24"/>
        </w:rPr>
        <w:t>legais</w:t>
      </w:r>
      <w:r w:rsidR="00A81476">
        <w:rPr>
          <w:rFonts w:ascii="Arial" w:hAnsi="Arial" w:cs="Arial"/>
          <w:sz w:val="24"/>
        </w:rPr>
        <w:t>.</w:t>
      </w:r>
    </w:p>
    <w:p w:rsidR="00C30DC5" w:rsidRDefault="00C30DC5" w:rsidP="00744D6B">
      <w:pPr>
        <w:spacing w:line="360" w:lineRule="auto"/>
        <w:jc w:val="both"/>
        <w:rPr>
          <w:rFonts w:ascii="Arial" w:hAnsi="Arial" w:cs="Arial"/>
          <w:b/>
          <w:sz w:val="24"/>
        </w:rPr>
      </w:pPr>
    </w:p>
    <w:p w:rsidR="00A81476" w:rsidRDefault="00A81476" w:rsidP="00744D6B">
      <w:pPr>
        <w:spacing w:line="360" w:lineRule="auto"/>
        <w:jc w:val="both"/>
        <w:rPr>
          <w:rFonts w:ascii="Arial" w:hAnsi="Arial" w:cs="Arial"/>
          <w:b/>
          <w:sz w:val="24"/>
        </w:rPr>
      </w:pPr>
      <w:r w:rsidRPr="004049C0">
        <w:rPr>
          <w:rFonts w:ascii="Arial" w:hAnsi="Arial" w:cs="Arial"/>
          <w:b/>
          <w:sz w:val="24"/>
        </w:rPr>
        <w:t xml:space="preserve">II – </w:t>
      </w:r>
      <w:r w:rsidR="00A868BB">
        <w:rPr>
          <w:rFonts w:ascii="Arial" w:hAnsi="Arial" w:cs="Arial"/>
          <w:b/>
          <w:sz w:val="24"/>
        </w:rPr>
        <w:t>FUNDAMENTAÇÃO</w:t>
      </w:r>
      <w:r w:rsidRPr="004049C0">
        <w:rPr>
          <w:rFonts w:ascii="Arial" w:hAnsi="Arial" w:cs="Arial"/>
          <w:b/>
          <w:sz w:val="24"/>
        </w:rPr>
        <w:t xml:space="preserve"> </w:t>
      </w:r>
    </w:p>
    <w:p w:rsidR="00643343" w:rsidRPr="00643343" w:rsidRDefault="00643343" w:rsidP="00643343">
      <w:pPr>
        <w:spacing w:line="360" w:lineRule="auto"/>
        <w:ind w:firstLine="1701"/>
        <w:jc w:val="both"/>
        <w:rPr>
          <w:rFonts w:ascii="Arial" w:hAnsi="Arial" w:cs="Arial"/>
          <w:bCs/>
          <w:sz w:val="24"/>
        </w:rPr>
      </w:pPr>
      <w:r>
        <w:rPr>
          <w:rFonts w:ascii="Arial" w:hAnsi="Arial" w:cs="Arial"/>
          <w:sz w:val="24"/>
        </w:rPr>
        <w:t>De início r</w:t>
      </w:r>
      <w:r w:rsidRPr="00643343">
        <w:rPr>
          <w:rFonts w:ascii="Arial" w:hAnsi="Arial" w:cs="Arial"/>
          <w:sz w:val="24"/>
        </w:rPr>
        <w:t>essaltamos que não existe vício de iniciativa, visto que cabe ao Poder Executivo Municipal a iniciativa da Lei de Diretrizes Orçamentárias, conforme se extrai do artigo 165 da Constituição Federal.</w:t>
      </w:r>
    </w:p>
    <w:p w:rsidR="00643343" w:rsidRPr="00643343" w:rsidRDefault="00643343" w:rsidP="00643343">
      <w:pPr>
        <w:spacing w:line="360" w:lineRule="auto"/>
        <w:ind w:left="2835"/>
        <w:jc w:val="both"/>
        <w:rPr>
          <w:rFonts w:ascii="Arial" w:hAnsi="Arial" w:cs="Arial"/>
          <w:szCs w:val="20"/>
        </w:rPr>
      </w:pPr>
      <w:r w:rsidRPr="00643343">
        <w:rPr>
          <w:rFonts w:ascii="Arial" w:hAnsi="Arial" w:cs="Arial"/>
          <w:szCs w:val="20"/>
        </w:rPr>
        <w:t>Art. 165. Leis de iniciativa do Poder Executivo estabelecerão:</w:t>
      </w:r>
    </w:p>
    <w:p w:rsidR="00643343" w:rsidRPr="00643343" w:rsidRDefault="00643343" w:rsidP="00643343">
      <w:pPr>
        <w:spacing w:line="360" w:lineRule="auto"/>
        <w:ind w:left="2835"/>
        <w:jc w:val="both"/>
        <w:rPr>
          <w:rFonts w:ascii="Arial" w:hAnsi="Arial" w:cs="Arial"/>
          <w:szCs w:val="20"/>
        </w:rPr>
      </w:pPr>
      <w:r w:rsidRPr="00643343">
        <w:rPr>
          <w:rFonts w:ascii="Arial" w:hAnsi="Arial" w:cs="Arial"/>
          <w:szCs w:val="20"/>
        </w:rPr>
        <w:t>I – o plano plurianual;</w:t>
      </w:r>
    </w:p>
    <w:p w:rsidR="00643343" w:rsidRPr="00643343" w:rsidRDefault="00643343" w:rsidP="00643343">
      <w:pPr>
        <w:spacing w:line="360" w:lineRule="auto"/>
        <w:ind w:left="2835"/>
        <w:jc w:val="both"/>
        <w:rPr>
          <w:rFonts w:ascii="Arial" w:hAnsi="Arial" w:cs="Arial"/>
          <w:szCs w:val="20"/>
        </w:rPr>
      </w:pPr>
      <w:r w:rsidRPr="00643343">
        <w:rPr>
          <w:rFonts w:ascii="Arial" w:hAnsi="Arial" w:cs="Arial"/>
          <w:szCs w:val="20"/>
        </w:rPr>
        <w:t>II – as diretrizes orçamentárias;</w:t>
      </w:r>
    </w:p>
    <w:p w:rsidR="00643343" w:rsidRPr="00643343" w:rsidRDefault="00643343" w:rsidP="00643343">
      <w:pPr>
        <w:spacing w:line="360" w:lineRule="auto"/>
        <w:ind w:left="2835"/>
        <w:jc w:val="both"/>
        <w:rPr>
          <w:rFonts w:ascii="Arial" w:hAnsi="Arial" w:cs="Arial"/>
          <w:szCs w:val="20"/>
        </w:rPr>
      </w:pPr>
      <w:r w:rsidRPr="00643343">
        <w:rPr>
          <w:rFonts w:ascii="Arial" w:hAnsi="Arial" w:cs="Arial"/>
          <w:szCs w:val="20"/>
        </w:rPr>
        <w:t>III – os orçamentos anuais.</w:t>
      </w:r>
    </w:p>
    <w:p w:rsidR="00643343" w:rsidRPr="00643343" w:rsidRDefault="00643343" w:rsidP="00643343">
      <w:pPr>
        <w:spacing w:line="360" w:lineRule="auto"/>
        <w:ind w:firstLine="1701"/>
        <w:jc w:val="both"/>
        <w:rPr>
          <w:rFonts w:ascii="Arial" w:hAnsi="Arial" w:cs="Arial"/>
          <w:bCs/>
          <w:sz w:val="24"/>
        </w:rPr>
      </w:pPr>
      <w:r w:rsidRPr="00643343">
        <w:rPr>
          <w:rFonts w:ascii="Arial" w:hAnsi="Arial" w:cs="Arial"/>
          <w:bCs/>
          <w:sz w:val="24"/>
        </w:rPr>
        <w:t xml:space="preserve">O art. </w:t>
      </w:r>
      <w:r>
        <w:rPr>
          <w:rFonts w:ascii="Arial" w:hAnsi="Arial" w:cs="Arial"/>
          <w:bCs/>
          <w:sz w:val="24"/>
        </w:rPr>
        <w:t>115</w:t>
      </w:r>
      <w:r w:rsidRPr="00643343">
        <w:rPr>
          <w:rFonts w:ascii="Arial" w:hAnsi="Arial" w:cs="Arial"/>
          <w:bCs/>
          <w:sz w:val="24"/>
        </w:rPr>
        <w:t>, inciso II, da Lei Orgânica Municipal</w:t>
      </w:r>
      <w:r>
        <w:rPr>
          <w:rFonts w:ascii="Arial" w:hAnsi="Arial" w:cs="Arial"/>
          <w:bCs/>
          <w:sz w:val="24"/>
        </w:rPr>
        <w:t xml:space="preserve"> </w:t>
      </w:r>
      <w:r w:rsidRPr="00643343">
        <w:rPr>
          <w:rFonts w:ascii="Arial" w:hAnsi="Arial" w:cs="Arial"/>
          <w:bCs/>
          <w:sz w:val="24"/>
        </w:rPr>
        <w:t>estabelece a competência privativa do Prefeito Municipal para apresentação do projeto de lei de diretrizes orçamentárias, como segue:</w:t>
      </w:r>
    </w:p>
    <w:p w:rsidR="00643343" w:rsidRPr="00DD3582" w:rsidRDefault="00643343" w:rsidP="00DD3582">
      <w:pPr>
        <w:spacing w:line="360" w:lineRule="auto"/>
        <w:ind w:left="2835"/>
        <w:jc w:val="both"/>
        <w:rPr>
          <w:rFonts w:ascii="Arial" w:hAnsi="Arial" w:cs="Arial"/>
          <w:bCs/>
          <w:szCs w:val="20"/>
        </w:rPr>
      </w:pPr>
      <w:r w:rsidRPr="00DD3582">
        <w:rPr>
          <w:rFonts w:ascii="Arial" w:hAnsi="Arial" w:cs="Arial"/>
          <w:bCs/>
          <w:szCs w:val="20"/>
        </w:rPr>
        <w:t>“Art. 115. Leis de iniciativa do Poder Executivo estabelecerão:</w:t>
      </w:r>
    </w:p>
    <w:p w:rsidR="00643343" w:rsidRPr="00DD3582" w:rsidRDefault="00643343" w:rsidP="00DD3582">
      <w:pPr>
        <w:spacing w:line="360" w:lineRule="auto"/>
        <w:ind w:left="2835"/>
        <w:jc w:val="both"/>
        <w:rPr>
          <w:rFonts w:ascii="Arial" w:hAnsi="Arial" w:cs="Arial"/>
          <w:bCs/>
          <w:szCs w:val="20"/>
        </w:rPr>
      </w:pPr>
      <w:r w:rsidRPr="00DD3582">
        <w:rPr>
          <w:rFonts w:ascii="Arial" w:hAnsi="Arial" w:cs="Arial"/>
          <w:bCs/>
          <w:szCs w:val="20"/>
        </w:rPr>
        <w:t>[...]</w:t>
      </w:r>
    </w:p>
    <w:p w:rsidR="00643343" w:rsidRPr="00DD3582" w:rsidRDefault="00643343" w:rsidP="00DD3582">
      <w:pPr>
        <w:spacing w:line="360" w:lineRule="auto"/>
        <w:ind w:left="2835"/>
        <w:jc w:val="both"/>
        <w:rPr>
          <w:rFonts w:ascii="Arial" w:hAnsi="Arial" w:cs="Arial"/>
          <w:bCs/>
          <w:szCs w:val="20"/>
        </w:rPr>
      </w:pPr>
      <w:r w:rsidRPr="00DD3582">
        <w:rPr>
          <w:rFonts w:ascii="Arial" w:hAnsi="Arial" w:cs="Arial"/>
          <w:bCs/>
          <w:szCs w:val="20"/>
        </w:rPr>
        <w:lastRenderedPageBreak/>
        <w:t xml:space="preserve">III – as diretrizes orçamentárias </w:t>
      </w:r>
      <w:r w:rsidR="00DD3582" w:rsidRPr="00DD3582">
        <w:rPr>
          <w:rFonts w:ascii="Arial" w:hAnsi="Arial" w:cs="Arial"/>
          <w:bCs/>
          <w:szCs w:val="20"/>
        </w:rPr>
        <w:t>anuais</w:t>
      </w:r>
      <w:r w:rsidRPr="00DD3582">
        <w:rPr>
          <w:rFonts w:ascii="Arial" w:hAnsi="Arial" w:cs="Arial"/>
          <w:bCs/>
          <w:szCs w:val="20"/>
        </w:rPr>
        <w:t>;</w:t>
      </w:r>
    </w:p>
    <w:p w:rsidR="00DD3582" w:rsidRDefault="00DD3582" w:rsidP="00643343">
      <w:pPr>
        <w:spacing w:line="360" w:lineRule="auto"/>
        <w:ind w:firstLine="1701"/>
        <w:jc w:val="both"/>
        <w:rPr>
          <w:rFonts w:ascii="Arial" w:hAnsi="Arial" w:cs="Arial"/>
          <w:bCs/>
          <w:sz w:val="24"/>
        </w:rPr>
      </w:pPr>
    </w:p>
    <w:p w:rsidR="00DD3582" w:rsidRDefault="00A868BB" w:rsidP="00DD3582">
      <w:pPr>
        <w:spacing w:line="360" w:lineRule="auto"/>
        <w:ind w:firstLine="1701"/>
        <w:jc w:val="both"/>
        <w:rPr>
          <w:rFonts w:ascii="Arial" w:hAnsi="Arial" w:cs="Arial"/>
          <w:bCs/>
          <w:sz w:val="24"/>
        </w:rPr>
      </w:pPr>
      <w:r w:rsidRPr="00A868BB">
        <w:rPr>
          <w:rFonts w:ascii="Arial" w:hAnsi="Arial" w:cs="Arial"/>
          <w:bCs/>
          <w:sz w:val="24"/>
        </w:rPr>
        <w:t xml:space="preserve">O projeto de lei em análise cumpre o disposto no § 2º do artigo 165 da Constituição Federal e </w:t>
      </w:r>
      <w:r w:rsidR="00737FDB">
        <w:rPr>
          <w:rFonts w:ascii="Arial" w:hAnsi="Arial" w:cs="Arial"/>
          <w:bCs/>
          <w:sz w:val="24"/>
        </w:rPr>
        <w:t>O</w:t>
      </w:r>
      <w:r w:rsidRPr="00A868BB">
        <w:rPr>
          <w:rFonts w:ascii="Arial" w:hAnsi="Arial" w:cs="Arial"/>
          <w:bCs/>
          <w:sz w:val="24"/>
        </w:rPr>
        <w:t xml:space="preserve"> § </w:t>
      </w:r>
      <w:r w:rsidR="00737FDB">
        <w:rPr>
          <w:rFonts w:ascii="Arial" w:hAnsi="Arial" w:cs="Arial"/>
          <w:bCs/>
          <w:sz w:val="24"/>
        </w:rPr>
        <w:t>3</w:t>
      </w:r>
      <w:r w:rsidRPr="00A868BB">
        <w:rPr>
          <w:rFonts w:ascii="Arial" w:hAnsi="Arial" w:cs="Arial"/>
          <w:bCs/>
          <w:sz w:val="24"/>
        </w:rPr>
        <w:t>º do artigo 1</w:t>
      </w:r>
      <w:r w:rsidR="00737FDB">
        <w:rPr>
          <w:rFonts w:ascii="Arial" w:hAnsi="Arial" w:cs="Arial"/>
          <w:bCs/>
          <w:sz w:val="24"/>
        </w:rPr>
        <w:t>15</w:t>
      </w:r>
      <w:r w:rsidRPr="00A868BB">
        <w:rPr>
          <w:rFonts w:ascii="Arial" w:hAnsi="Arial" w:cs="Arial"/>
          <w:bCs/>
          <w:sz w:val="24"/>
        </w:rPr>
        <w:t xml:space="preserve"> da Lei Orgânica do Município de </w:t>
      </w:r>
      <w:r w:rsidR="00737FDB">
        <w:rPr>
          <w:rFonts w:ascii="Arial" w:hAnsi="Arial" w:cs="Arial"/>
          <w:bCs/>
          <w:sz w:val="24"/>
        </w:rPr>
        <w:t>Santana</w:t>
      </w:r>
      <w:r w:rsidRPr="00A868BB">
        <w:rPr>
          <w:rFonts w:ascii="Arial" w:hAnsi="Arial" w:cs="Arial"/>
          <w:bCs/>
          <w:sz w:val="24"/>
        </w:rPr>
        <w:t xml:space="preserve">. Apresentado no prazo </w:t>
      </w:r>
      <w:r w:rsidR="00737FDB">
        <w:rPr>
          <w:rFonts w:ascii="Arial" w:hAnsi="Arial" w:cs="Arial"/>
          <w:bCs/>
          <w:sz w:val="24"/>
        </w:rPr>
        <w:t>legal</w:t>
      </w:r>
      <w:r w:rsidRPr="00A868BB">
        <w:rPr>
          <w:rFonts w:ascii="Arial" w:hAnsi="Arial" w:cs="Arial"/>
          <w:bCs/>
          <w:sz w:val="24"/>
        </w:rPr>
        <w:t xml:space="preserve">, a propositura, além de atender aos dispositivos constitucionais e da legislação pertinente, apresenta os anexos exigidos pela Lei Complementar Federal nº 101, de 4 de maio de 2000 (Lei de Responsabilidade Fiscal), conforme determinados pelo artigo 4º, §§ 1º, 2º e 3º, desse diploma legal. </w:t>
      </w:r>
    </w:p>
    <w:p w:rsidR="00DD3582" w:rsidRDefault="00DD3582" w:rsidP="00DD3582">
      <w:pPr>
        <w:spacing w:line="360" w:lineRule="auto"/>
        <w:ind w:firstLine="1701"/>
        <w:jc w:val="both"/>
        <w:rPr>
          <w:rFonts w:ascii="Arial" w:hAnsi="Arial" w:cs="Arial"/>
          <w:bCs/>
          <w:sz w:val="24"/>
        </w:rPr>
      </w:pPr>
      <w:r w:rsidRPr="00DD3582">
        <w:rPr>
          <w:rFonts w:ascii="Arial" w:hAnsi="Arial" w:cs="Arial"/>
          <w:sz w:val="24"/>
        </w:rPr>
        <w:t>De igual modo, não foram detectados vícios de técnica legislativa, sendo a redação coerente, impessoal e objetiva, além de condizente com as disposições da Lei Complementar n.º 95/1998 e respectivo decreto regulamentador de número n.º 9.191, de 2017, aplicáveis no caso de inexistência de norma municipal de regência.</w:t>
      </w:r>
    </w:p>
    <w:p w:rsidR="00930B1B" w:rsidRDefault="00DD3582" w:rsidP="00930B1B">
      <w:pPr>
        <w:spacing w:line="360" w:lineRule="auto"/>
        <w:ind w:firstLine="1701"/>
        <w:jc w:val="both"/>
        <w:rPr>
          <w:rFonts w:ascii="Arial" w:hAnsi="Arial" w:cs="Arial"/>
          <w:bCs/>
          <w:sz w:val="24"/>
        </w:rPr>
      </w:pPr>
      <w:r w:rsidRPr="00DD3582">
        <w:rPr>
          <w:rFonts w:ascii="Arial" w:hAnsi="Arial" w:cs="Arial"/>
          <w:sz w:val="24"/>
        </w:rPr>
        <w:t>Ademais, não foram detectados vícios gramaticais e/ou interpretativos capazes de macular o projeto de lei em estudo. Eventuais vícios de formatação poderão ser sanados em redação final, sem configurar ilicitude.</w:t>
      </w:r>
    </w:p>
    <w:p w:rsidR="00930B1B" w:rsidRDefault="00DD3582" w:rsidP="00930B1B">
      <w:pPr>
        <w:spacing w:line="360" w:lineRule="auto"/>
        <w:ind w:firstLine="1701"/>
        <w:jc w:val="both"/>
        <w:rPr>
          <w:rFonts w:ascii="Arial" w:hAnsi="Arial" w:cs="Arial"/>
          <w:bCs/>
          <w:sz w:val="24"/>
        </w:rPr>
      </w:pPr>
      <w:r w:rsidRPr="00DD3582">
        <w:rPr>
          <w:rFonts w:ascii="Arial" w:hAnsi="Arial" w:cs="Arial"/>
          <w:sz w:val="24"/>
        </w:rPr>
        <w:t>Além disso, o projeto de lei em análise atende aos parâmetros da juridicidade, sendo convergente com o ordenamento jurídico vigente e compatível com os princípios jurídicos administrativos, sobretudo a moralidade administrativa. Em seus dispositivos não há nenhuma ofensa, direta ou indireta, ao ordenamento jurídico pátrio.</w:t>
      </w:r>
    </w:p>
    <w:p w:rsidR="00930B1B" w:rsidRDefault="00DD3582" w:rsidP="00930B1B">
      <w:pPr>
        <w:spacing w:line="360" w:lineRule="auto"/>
        <w:ind w:firstLine="1701"/>
        <w:jc w:val="both"/>
        <w:rPr>
          <w:rFonts w:ascii="Arial" w:hAnsi="Arial" w:cs="Arial"/>
          <w:bCs/>
          <w:sz w:val="24"/>
        </w:rPr>
      </w:pPr>
      <w:r w:rsidRPr="00DD3582">
        <w:rPr>
          <w:rFonts w:ascii="Arial" w:hAnsi="Arial" w:cs="Arial"/>
          <w:sz w:val="24"/>
        </w:rPr>
        <w:t>Quanto aos aspectos de constitucionalidade e legalidade, é bom ressaltar que se trata de norma atinente ao Direito Financeiro, cujas diretrizes se encontram delineadas na Lei Complementar 101, de 04 de maio de 2000, conhecida como Lei de Responsabilidade Fiscal. Neste contexto, o projeto de lei em análise atende aos requisitos elencados no artigo 4º da citada Lei Complementar, dispondo</w:t>
      </w:r>
      <w:r w:rsidR="00930B1B">
        <w:rPr>
          <w:rFonts w:ascii="Arial" w:hAnsi="Arial" w:cs="Arial"/>
          <w:bCs/>
          <w:sz w:val="24"/>
        </w:rPr>
        <w:t xml:space="preserve"> </w:t>
      </w:r>
      <w:r w:rsidRPr="00DD3582">
        <w:rPr>
          <w:rFonts w:ascii="Arial" w:hAnsi="Arial" w:cs="Arial"/>
          <w:sz w:val="24"/>
        </w:rPr>
        <w:t xml:space="preserve">satisfatoriamente acerca do </w:t>
      </w:r>
      <w:r w:rsidR="00930B1B">
        <w:rPr>
          <w:rFonts w:ascii="Arial" w:hAnsi="Arial" w:cs="Arial"/>
          <w:sz w:val="24"/>
        </w:rPr>
        <w:t>referido diploma legal</w:t>
      </w:r>
    </w:p>
    <w:p w:rsidR="00930B1B" w:rsidRDefault="00DD3582" w:rsidP="00930B1B">
      <w:pPr>
        <w:spacing w:line="360" w:lineRule="auto"/>
        <w:ind w:firstLine="1701"/>
        <w:jc w:val="both"/>
        <w:rPr>
          <w:rFonts w:ascii="Arial" w:hAnsi="Arial" w:cs="Arial"/>
          <w:bCs/>
          <w:sz w:val="24"/>
        </w:rPr>
      </w:pPr>
      <w:r w:rsidRPr="00DD3582">
        <w:rPr>
          <w:rFonts w:ascii="Arial" w:hAnsi="Arial" w:cs="Arial"/>
          <w:sz w:val="24"/>
        </w:rPr>
        <w:lastRenderedPageBreak/>
        <w:t>A Lei de Diretrizes Orçamentárias (LDO) é elaborada anualmente e tem como objetivo apontar as prioridades do governo para o próximo ano. Ela orienta a elaboração da Lei Orçamentária Anual, baseando-se no que foi estabelecido pelo Plano Plurianual. Ou seja, é um elo entre esses dois documentos, portanto, delimita o que é possível realizar financeiramente no ano seguinte.</w:t>
      </w:r>
    </w:p>
    <w:p w:rsidR="00930B1B" w:rsidRDefault="00DD3582" w:rsidP="00930B1B">
      <w:pPr>
        <w:spacing w:line="360" w:lineRule="auto"/>
        <w:ind w:firstLine="1701"/>
        <w:jc w:val="both"/>
        <w:rPr>
          <w:rFonts w:ascii="Arial" w:hAnsi="Arial" w:cs="Arial"/>
          <w:bCs/>
          <w:sz w:val="24"/>
        </w:rPr>
      </w:pPr>
      <w:r w:rsidRPr="00DD3582">
        <w:rPr>
          <w:rFonts w:ascii="Arial" w:hAnsi="Arial" w:cs="Arial"/>
          <w:sz w:val="24"/>
        </w:rPr>
        <w:t>Portanto, uma vez atendidos os preceitos constitucionais e legais, não há nenhuma inconstitucionalidade ou ilegalidade no projeto, atendendo, igualmente, aos parâmetros de juridicidade e boa técnica legislativa.</w:t>
      </w:r>
    </w:p>
    <w:p w:rsidR="00A81476" w:rsidRDefault="000D2094" w:rsidP="00930B1B">
      <w:pPr>
        <w:spacing w:line="360" w:lineRule="auto"/>
        <w:ind w:firstLine="1701"/>
        <w:jc w:val="both"/>
        <w:rPr>
          <w:rFonts w:ascii="Arial" w:hAnsi="Arial" w:cs="Arial"/>
          <w:sz w:val="24"/>
        </w:rPr>
      </w:pPr>
      <w:r>
        <w:rPr>
          <w:rFonts w:ascii="Arial" w:hAnsi="Arial" w:cs="Arial"/>
          <w:sz w:val="24"/>
        </w:rPr>
        <w:t>Pelo</w:t>
      </w:r>
      <w:r w:rsidR="00A81476">
        <w:rPr>
          <w:rFonts w:ascii="Arial" w:hAnsi="Arial" w:cs="Arial"/>
          <w:sz w:val="24"/>
        </w:rPr>
        <w:t xml:space="preserve"> exposto acima, o parecer é pela </w:t>
      </w:r>
      <w:r w:rsidR="00A81476" w:rsidRPr="00930B1B">
        <w:rPr>
          <w:rFonts w:ascii="Arial" w:hAnsi="Arial" w:cs="Arial"/>
          <w:b/>
          <w:bCs/>
          <w:sz w:val="24"/>
        </w:rPr>
        <w:t>APROVAÇÃO</w:t>
      </w:r>
      <w:r w:rsidR="00A81476">
        <w:rPr>
          <w:rFonts w:ascii="Arial" w:hAnsi="Arial" w:cs="Arial"/>
          <w:sz w:val="24"/>
        </w:rPr>
        <w:t xml:space="preserve"> </w:t>
      </w:r>
      <w:r w:rsidR="006D6684">
        <w:rPr>
          <w:rFonts w:ascii="Arial" w:hAnsi="Arial" w:cs="Arial"/>
          <w:sz w:val="24"/>
        </w:rPr>
        <w:t xml:space="preserve">do Projeto de </w:t>
      </w:r>
      <w:r w:rsidR="00A81476">
        <w:rPr>
          <w:rFonts w:ascii="Arial" w:hAnsi="Arial" w:cs="Arial"/>
          <w:sz w:val="24"/>
        </w:rPr>
        <w:t>Lei.</w:t>
      </w:r>
    </w:p>
    <w:p w:rsidR="00930B1B" w:rsidRPr="00930B1B" w:rsidRDefault="00930B1B" w:rsidP="00930B1B">
      <w:pPr>
        <w:spacing w:line="360" w:lineRule="auto"/>
        <w:ind w:firstLine="1701"/>
        <w:jc w:val="both"/>
        <w:rPr>
          <w:rFonts w:ascii="Arial" w:hAnsi="Arial" w:cs="Arial"/>
          <w:bCs/>
          <w:sz w:val="24"/>
        </w:rPr>
      </w:pPr>
      <w:r w:rsidRPr="00930B1B">
        <w:rPr>
          <w:rFonts w:ascii="Arial" w:hAnsi="Arial" w:cs="Arial"/>
          <w:bCs/>
          <w:sz w:val="24"/>
        </w:rPr>
        <w:t xml:space="preserve">Comissão de Finanças e Orçamento, </w:t>
      </w:r>
      <w:r w:rsidR="007F4014">
        <w:rPr>
          <w:rFonts w:ascii="Arial" w:hAnsi="Arial" w:cs="Arial"/>
          <w:bCs/>
          <w:sz w:val="24"/>
        </w:rPr>
        <w:t>14</w:t>
      </w:r>
      <w:r w:rsidRPr="00930B1B">
        <w:rPr>
          <w:rFonts w:ascii="Arial" w:hAnsi="Arial" w:cs="Arial"/>
          <w:bCs/>
          <w:sz w:val="24"/>
        </w:rPr>
        <w:t xml:space="preserve"> de ma</w:t>
      </w:r>
      <w:r w:rsidR="007F4014">
        <w:rPr>
          <w:rFonts w:ascii="Arial" w:hAnsi="Arial" w:cs="Arial"/>
          <w:bCs/>
          <w:sz w:val="24"/>
        </w:rPr>
        <w:t>io</w:t>
      </w:r>
      <w:r w:rsidRPr="00930B1B">
        <w:rPr>
          <w:rFonts w:ascii="Arial" w:hAnsi="Arial" w:cs="Arial"/>
          <w:bCs/>
          <w:sz w:val="24"/>
        </w:rPr>
        <w:t xml:space="preserve"> de 202</w:t>
      </w:r>
      <w:r w:rsidR="007F4014">
        <w:rPr>
          <w:rFonts w:ascii="Arial" w:hAnsi="Arial" w:cs="Arial"/>
          <w:bCs/>
          <w:sz w:val="24"/>
        </w:rPr>
        <w:t>2.</w:t>
      </w:r>
    </w:p>
    <w:p w:rsidR="00E310CA" w:rsidRDefault="00E310CA" w:rsidP="00744D6B">
      <w:pPr>
        <w:spacing w:line="360" w:lineRule="auto"/>
        <w:rPr>
          <w:rFonts w:ascii="Arial" w:hAnsi="Arial" w:cs="Arial"/>
          <w:b/>
          <w:sz w:val="24"/>
        </w:rPr>
      </w:pPr>
    </w:p>
    <w:p w:rsidR="00A81476" w:rsidRPr="00E310CA" w:rsidRDefault="00E310CA" w:rsidP="00930B1B">
      <w:pPr>
        <w:spacing w:line="240" w:lineRule="auto"/>
        <w:jc w:val="center"/>
        <w:rPr>
          <w:rFonts w:ascii="Arial" w:hAnsi="Arial" w:cs="Arial"/>
          <w:b/>
          <w:sz w:val="24"/>
        </w:rPr>
      </w:pPr>
      <w:r w:rsidRPr="00E310CA">
        <w:rPr>
          <w:rFonts w:ascii="Arial" w:hAnsi="Arial" w:cs="Arial"/>
          <w:b/>
          <w:sz w:val="24"/>
        </w:rPr>
        <w:t>Vereador Adelson de Rocha – PCdoB</w:t>
      </w:r>
    </w:p>
    <w:p w:rsidR="00E310CA" w:rsidRDefault="00A81476" w:rsidP="00930B1B">
      <w:pPr>
        <w:spacing w:line="240" w:lineRule="auto"/>
        <w:jc w:val="center"/>
        <w:rPr>
          <w:rFonts w:ascii="Arial" w:hAnsi="Arial" w:cs="Arial"/>
          <w:color w:val="212529"/>
          <w:sz w:val="24"/>
          <w:szCs w:val="24"/>
          <w:shd w:val="clear" w:color="auto" w:fill="F7F7F7"/>
        </w:rPr>
      </w:pPr>
      <w:r w:rsidRPr="004049C0">
        <w:rPr>
          <w:rFonts w:ascii="Arial" w:hAnsi="Arial" w:cs="Arial"/>
          <w:b/>
          <w:sz w:val="24"/>
        </w:rPr>
        <w:t>Relator</w:t>
      </w:r>
    </w:p>
    <w:p w:rsidR="00C30DC5" w:rsidRDefault="00C30DC5" w:rsidP="00744D6B">
      <w:pPr>
        <w:spacing w:line="360" w:lineRule="auto"/>
        <w:jc w:val="both"/>
        <w:rPr>
          <w:rFonts w:ascii="Arial" w:hAnsi="Arial" w:cs="Arial"/>
          <w:sz w:val="24"/>
        </w:rPr>
      </w:pPr>
    </w:p>
    <w:p w:rsidR="00E310CA" w:rsidRPr="004049C0" w:rsidRDefault="00E310CA" w:rsidP="00744D6B">
      <w:pPr>
        <w:spacing w:line="360" w:lineRule="auto"/>
        <w:jc w:val="center"/>
        <w:rPr>
          <w:rFonts w:ascii="Arial" w:hAnsi="Arial" w:cs="Arial"/>
          <w:b/>
          <w:sz w:val="24"/>
        </w:rPr>
      </w:pPr>
      <w:r w:rsidRPr="004049C0">
        <w:rPr>
          <w:rFonts w:ascii="Arial" w:hAnsi="Arial" w:cs="Arial"/>
          <w:b/>
          <w:sz w:val="24"/>
        </w:rPr>
        <w:t>VOTOS PELA APROVAÇÃO</w:t>
      </w:r>
    </w:p>
    <w:p w:rsidR="00E310CA" w:rsidRDefault="00E310CA" w:rsidP="00744D6B">
      <w:pPr>
        <w:spacing w:line="360" w:lineRule="auto"/>
        <w:jc w:val="center"/>
        <w:rPr>
          <w:rFonts w:ascii="Arial" w:hAnsi="Arial" w:cs="Arial"/>
          <w:sz w:val="24"/>
        </w:rPr>
      </w:pPr>
    </w:p>
    <w:p w:rsidR="00E310CA" w:rsidRDefault="00E310CA" w:rsidP="00744D6B">
      <w:pPr>
        <w:spacing w:line="360" w:lineRule="auto"/>
        <w:jc w:val="center"/>
        <w:rPr>
          <w:rFonts w:ascii="Arial" w:hAnsi="Arial" w:cs="Arial"/>
          <w:sz w:val="24"/>
        </w:rPr>
      </w:pPr>
      <w:r>
        <w:rPr>
          <w:rFonts w:ascii="Arial" w:hAnsi="Arial" w:cs="Arial"/>
          <w:sz w:val="24"/>
        </w:rPr>
        <w:t>Vereador Bruno Souza - PSD</w:t>
      </w:r>
    </w:p>
    <w:p w:rsidR="00E310CA" w:rsidRDefault="00E310CA" w:rsidP="00744D6B">
      <w:pPr>
        <w:spacing w:line="360" w:lineRule="auto"/>
        <w:jc w:val="center"/>
        <w:rPr>
          <w:rFonts w:ascii="Arial" w:hAnsi="Arial" w:cs="Arial"/>
          <w:sz w:val="24"/>
        </w:rPr>
      </w:pPr>
      <w:r>
        <w:rPr>
          <w:rFonts w:ascii="Arial" w:hAnsi="Arial" w:cs="Arial"/>
          <w:sz w:val="24"/>
        </w:rPr>
        <w:t>PRESIDENTE</w:t>
      </w:r>
    </w:p>
    <w:p w:rsidR="00E310CA" w:rsidRDefault="00E310CA" w:rsidP="00744D6B">
      <w:pPr>
        <w:spacing w:line="360" w:lineRule="auto"/>
        <w:jc w:val="center"/>
        <w:rPr>
          <w:rFonts w:ascii="Arial" w:hAnsi="Arial" w:cs="Arial"/>
          <w:sz w:val="24"/>
        </w:rPr>
      </w:pPr>
    </w:p>
    <w:p w:rsidR="00E310CA" w:rsidRDefault="00E310CA" w:rsidP="00744D6B">
      <w:pPr>
        <w:spacing w:line="360" w:lineRule="auto"/>
        <w:jc w:val="center"/>
        <w:rPr>
          <w:rFonts w:ascii="Arial" w:hAnsi="Arial" w:cs="Arial"/>
          <w:sz w:val="24"/>
        </w:rPr>
      </w:pPr>
      <w:r>
        <w:rPr>
          <w:rFonts w:ascii="Arial" w:hAnsi="Arial" w:cs="Arial"/>
          <w:sz w:val="24"/>
        </w:rPr>
        <w:t>Vereador Adelson de Rocha – PCdoB</w:t>
      </w:r>
    </w:p>
    <w:p w:rsidR="00E310CA" w:rsidRDefault="00E310CA" w:rsidP="00744D6B">
      <w:pPr>
        <w:spacing w:line="360" w:lineRule="auto"/>
        <w:jc w:val="center"/>
        <w:rPr>
          <w:rFonts w:ascii="Arial" w:hAnsi="Arial" w:cs="Arial"/>
          <w:sz w:val="24"/>
        </w:rPr>
      </w:pPr>
      <w:r>
        <w:rPr>
          <w:rFonts w:ascii="Arial" w:hAnsi="Arial" w:cs="Arial"/>
          <w:sz w:val="24"/>
        </w:rPr>
        <w:t>RELATOR</w:t>
      </w:r>
    </w:p>
    <w:p w:rsidR="00E310CA" w:rsidRDefault="00E310CA" w:rsidP="00744D6B">
      <w:pPr>
        <w:spacing w:line="360" w:lineRule="auto"/>
        <w:jc w:val="center"/>
        <w:rPr>
          <w:rFonts w:ascii="Arial" w:hAnsi="Arial" w:cs="Arial"/>
          <w:sz w:val="24"/>
        </w:rPr>
      </w:pPr>
    </w:p>
    <w:p w:rsidR="00E310CA" w:rsidRDefault="00E310CA" w:rsidP="00744D6B">
      <w:pPr>
        <w:spacing w:line="360" w:lineRule="auto"/>
        <w:jc w:val="center"/>
        <w:rPr>
          <w:rFonts w:ascii="Arial" w:hAnsi="Arial" w:cs="Arial"/>
          <w:sz w:val="24"/>
        </w:rPr>
      </w:pPr>
      <w:r>
        <w:rPr>
          <w:rFonts w:ascii="Arial" w:hAnsi="Arial" w:cs="Arial"/>
          <w:sz w:val="24"/>
        </w:rPr>
        <w:t>Vereador Carmem Queiroz - PP</w:t>
      </w:r>
    </w:p>
    <w:p w:rsidR="00B666A5" w:rsidRDefault="00E310CA" w:rsidP="00930B1B">
      <w:pPr>
        <w:spacing w:line="360" w:lineRule="auto"/>
        <w:jc w:val="center"/>
      </w:pPr>
      <w:r>
        <w:rPr>
          <w:rFonts w:ascii="Arial" w:hAnsi="Arial" w:cs="Arial"/>
          <w:sz w:val="24"/>
        </w:rPr>
        <w:t>MEMBRO</w:t>
      </w:r>
    </w:p>
    <w:sectPr w:rsidR="00B666A5" w:rsidSect="001472CB">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E69" w:rsidRDefault="00757E69">
      <w:pPr>
        <w:spacing w:after="0" w:line="240" w:lineRule="auto"/>
      </w:pPr>
      <w:r>
        <w:separator/>
      </w:r>
    </w:p>
  </w:endnote>
  <w:endnote w:type="continuationSeparator" w:id="0">
    <w:p w:rsidR="00757E69" w:rsidRDefault="0075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E69" w:rsidRDefault="00757E69">
      <w:pPr>
        <w:spacing w:after="0" w:line="240" w:lineRule="auto"/>
      </w:pPr>
      <w:r>
        <w:separator/>
      </w:r>
    </w:p>
  </w:footnote>
  <w:footnote w:type="continuationSeparator" w:id="0">
    <w:p w:rsidR="00757E69" w:rsidRDefault="00757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1B4" w:rsidRDefault="00A81476" w:rsidP="008871B4">
    <w:pPr>
      <w:pStyle w:val="Cabealho"/>
      <w:tabs>
        <w:tab w:val="clear" w:pos="4252"/>
        <w:tab w:val="clear" w:pos="8504"/>
        <w:tab w:val="left" w:pos="1926"/>
      </w:tabs>
      <w:jc w:val="center"/>
    </w:pPr>
    <w:r w:rsidRPr="00B95374">
      <w:rPr>
        <w:noProof/>
        <w:sz w:val="14"/>
        <w:lang w:eastAsia="pt-BR"/>
      </w:rPr>
      <w:drawing>
        <wp:anchor distT="0" distB="0" distL="114300" distR="114300" simplePos="0" relativeHeight="251659264" behindDoc="1" locked="0" layoutInCell="1" allowOverlap="1">
          <wp:simplePos x="0" y="0"/>
          <wp:positionH relativeFrom="margin">
            <wp:align>center</wp:align>
          </wp:positionH>
          <wp:positionV relativeFrom="paragraph">
            <wp:posOffset>-264931</wp:posOffset>
          </wp:positionV>
          <wp:extent cx="807720" cy="712470"/>
          <wp:effectExtent l="0" t="0" r="0" b="0"/>
          <wp:wrapTopAndBottom/>
          <wp:docPr id="1" name="Imagem 1" descr="Brasão de armas de Sant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de armas de Sant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712470"/>
                  </a:xfrm>
                  <a:prstGeom prst="rect">
                    <a:avLst/>
                  </a:prstGeom>
                  <a:noFill/>
                  <a:ln>
                    <a:noFill/>
                  </a:ln>
                </pic:spPr>
              </pic:pic>
            </a:graphicData>
          </a:graphic>
        </wp:anchor>
      </w:drawing>
    </w:r>
    <w:r>
      <w:t>ESTADO DO AMAPÁ</w:t>
    </w:r>
  </w:p>
  <w:p w:rsidR="008871B4" w:rsidRDefault="00A81476" w:rsidP="008871B4">
    <w:pPr>
      <w:pStyle w:val="Cabealho"/>
      <w:tabs>
        <w:tab w:val="clear" w:pos="4252"/>
        <w:tab w:val="clear" w:pos="8504"/>
        <w:tab w:val="left" w:pos="1926"/>
      </w:tabs>
      <w:jc w:val="center"/>
    </w:pPr>
    <w:r>
      <w:t>PODER LEGISLATIVO MUNICIPAL</w:t>
    </w:r>
  </w:p>
  <w:p w:rsidR="008871B4" w:rsidRDefault="00A81476" w:rsidP="008871B4">
    <w:pPr>
      <w:pStyle w:val="Cabealho"/>
      <w:tabs>
        <w:tab w:val="clear" w:pos="4252"/>
        <w:tab w:val="clear" w:pos="8504"/>
        <w:tab w:val="left" w:pos="1926"/>
      </w:tabs>
      <w:jc w:val="center"/>
    </w:pPr>
    <w:r>
      <w:t>CÂMARA MUNICIPAL DE SANTANA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476"/>
    <w:rsid w:val="0005014E"/>
    <w:rsid w:val="000528EA"/>
    <w:rsid w:val="00055A49"/>
    <w:rsid w:val="00083A85"/>
    <w:rsid w:val="000C45D9"/>
    <w:rsid w:val="000D2094"/>
    <w:rsid w:val="00101ECF"/>
    <w:rsid w:val="001472CB"/>
    <w:rsid w:val="00165847"/>
    <w:rsid w:val="00174971"/>
    <w:rsid w:val="001E5636"/>
    <w:rsid w:val="001F66E7"/>
    <w:rsid w:val="002405C6"/>
    <w:rsid w:val="002423D0"/>
    <w:rsid w:val="00253521"/>
    <w:rsid w:val="00313957"/>
    <w:rsid w:val="00334EB5"/>
    <w:rsid w:val="0037586A"/>
    <w:rsid w:val="003A3298"/>
    <w:rsid w:val="003D22B1"/>
    <w:rsid w:val="00412858"/>
    <w:rsid w:val="0045622E"/>
    <w:rsid w:val="0047659D"/>
    <w:rsid w:val="004D3B38"/>
    <w:rsid w:val="00562CDA"/>
    <w:rsid w:val="005A79CE"/>
    <w:rsid w:val="00643343"/>
    <w:rsid w:val="006D0FE2"/>
    <w:rsid w:val="006D130B"/>
    <w:rsid w:val="006D6684"/>
    <w:rsid w:val="00717DE4"/>
    <w:rsid w:val="00737FDB"/>
    <w:rsid w:val="00744D6B"/>
    <w:rsid w:val="00757E69"/>
    <w:rsid w:val="007930F0"/>
    <w:rsid w:val="007B0F1F"/>
    <w:rsid w:val="007F4014"/>
    <w:rsid w:val="00821D29"/>
    <w:rsid w:val="00930B1B"/>
    <w:rsid w:val="009665A2"/>
    <w:rsid w:val="00987820"/>
    <w:rsid w:val="009C1FD2"/>
    <w:rsid w:val="009D75E0"/>
    <w:rsid w:val="00A81476"/>
    <w:rsid w:val="00A868BB"/>
    <w:rsid w:val="00AA65B1"/>
    <w:rsid w:val="00AF7EBB"/>
    <w:rsid w:val="00B666A5"/>
    <w:rsid w:val="00B70A20"/>
    <w:rsid w:val="00C30DC5"/>
    <w:rsid w:val="00C7098E"/>
    <w:rsid w:val="00CC326E"/>
    <w:rsid w:val="00D034E7"/>
    <w:rsid w:val="00D03537"/>
    <w:rsid w:val="00DA075B"/>
    <w:rsid w:val="00DD3582"/>
    <w:rsid w:val="00DE54BE"/>
    <w:rsid w:val="00DF5FCD"/>
    <w:rsid w:val="00E310CA"/>
    <w:rsid w:val="00E73969"/>
    <w:rsid w:val="00EA75CA"/>
    <w:rsid w:val="00F06978"/>
    <w:rsid w:val="00F23FDC"/>
    <w:rsid w:val="00F33A9B"/>
    <w:rsid w:val="00F3538E"/>
    <w:rsid w:val="00F467E1"/>
    <w:rsid w:val="00FF618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6AC4FB-03A3-4B0F-8178-061CE2AC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47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814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1476"/>
  </w:style>
  <w:style w:type="paragraph" w:styleId="Textodebalo">
    <w:name w:val="Balloon Text"/>
    <w:basedOn w:val="Normal"/>
    <w:link w:val="TextodebaloChar"/>
    <w:uiPriority w:val="99"/>
    <w:semiHidden/>
    <w:unhideWhenUsed/>
    <w:rsid w:val="006D130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D13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4538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cp:lastPrinted>2021-03-18T14:57:00Z</cp:lastPrinted>
  <dcterms:created xsi:type="dcterms:W3CDTF">2022-06-21T14:39:00Z</dcterms:created>
  <dcterms:modified xsi:type="dcterms:W3CDTF">2022-06-21T14:39:00Z</dcterms:modified>
</cp:coreProperties>
</file>