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NewRomanPS-ItalicMT" w:hAnsi="TimesNewRomanPS-ItalicMT"/>
          <w:b/>
          <w:b/>
          <w:bCs/>
        </w:rPr>
      </w:pPr>
      <w:r>
        <w:rPr>
          <w:rFonts w:ascii="TimesNewRomanPS-ItalicMT" w:hAnsi="TimesNewRomanPS-ItalicMT"/>
          <w:b/>
          <w:bCs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PROJETO DE LEI Nº         / 2022 - CMS</w:t>
      </w:r>
    </w:p>
    <w:p>
      <w:pPr>
        <w:pStyle w:val="Normal"/>
        <w:bidi w:val="0"/>
        <w:jc w:val="right"/>
        <w:rPr>
          <w:rFonts w:ascii="TimesNewRomanPS-ItalicMT" w:hAnsi="TimesNewRomanPS-ItalicMT"/>
        </w:rPr>
      </w:pPr>
      <w:r>
        <w:rPr>
          <w:rFonts w:ascii="TimesNewRomanPS-ItalicMT" w:hAnsi="TimesNewRomanPS-ItalicMT"/>
        </w:rPr>
      </w:r>
    </w:p>
    <w:p>
      <w:pPr>
        <w:pStyle w:val="Normal"/>
        <w:bidi w:val="0"/>
        <w:jc w:val="center"/>
        <w:rPr/>
      </w:pPr>
      <w:r>
        <w:rPr>
          <w:rFonts w:ascii="TimesNewRomanPS-ItalicMT" w:hAnsi="TimesNewRomanPS-ItalicMT"/>
        </w:rPr>
        <w:t xml:space="preserve"> 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 w:val="false"/>
          <w:i/>
          <w:color w:val="000000"/>
          <w:sz w:val="26"/>
        </w:rPr>
        <w:t>“</w:t>
      </w:r>
      <w:r>
        <w:rPr>
          <w:rFonts w:ascii="Arial" w:hAnsi="Arial"/>
          <w:b w:val="false"/>
          <w:i/>
          <w:color w:val="000000"/>
          <w:sz w:val="26"/>
        </w:rPr>
        <w:t>Autoriza o Poder Executivo a criar o programa</w:t>
      </w:r>
    </w:p>
    <w:p>
      <w:pPr>
        <w:pStyle w:val="Normal"/>
        <w:bidi w:val="0"/>
        <w:jc w:val="right"/>
        <w:rPr>
          <w:rFonts w:ascii="Arial" w:hAnsi="Arial"/>
        </w:rPr>
      </w:pPr>
      <w:r>
        <w:rPr>
          <w:rFonts w:ascii="Arial" w:hAnsi="Arial"/>
          <w:b w:val="false"/>
          <w:i/>
          <w:color w:val="000000"/>
          <w:sz w:val="26"/>
        </w:rPr>
        <w:t>capacitando o idoso e da outras providências”.</w:t>
      </w:r>
    </w:p>
    <w:p>
      <w:pPr>
        <w:pStyle w:val="Normal"/>
        <w:bidi w:val="0"/>
        <w:jc w:val="right"/>
        <w:rPr>
          <w:rFonts w:ascii="TimesNewRomanPS-ItalicMT" w:hAnsi="TimesNewRomanPS-ItalicMT"/>
          <w:b w:val="false"/>
          <w:b w:val="false"/>
          <w:i/>
          <w:i/>
          <w:color w:val="000000"/>
          <w:sz w:val="26"/>
        </w:rPr>
      </w:pPr>
      <w:r>
        <w:rPr>
          <w:rFonts w:ascii="TimesNewRomanPS-ItalicMT" w:hAnsi="TimesNewRomanPS-ItalicMT"/>
          <w:b w:val="false"/>
          <w:i/>
          <w:color w:val="000000"/>
          <w:sz w:val="26"/>
        </w:rPr>
      </w:r>
    </w:p>
    <w:p>
      <w:pPr>
        <w:pStyle w:val="Normal"/>
        <w:bidi w:val="0"/>
        <w:jc w:val="left"/>
        <w:rPr>
          <w:color w:val="000000"/>
          <w:sz w:val="26"/>
        </w:rPr>
      </w:pPr>
      <w:r>
        <w:rPr>
          <w:color w:val="000000"/>
          <w:sz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i w:val="false"/>
          <w:i w:val="false"/>
          <w:iCs w:val="false"/>
        </w:rPr>
      </w:pPr>
      <w:r>
        <w:rPr>
          <w:rFonts w:ascii="Arial" w:hAnsi="Arial"/>
          <w:b/>
          <w:bCs/>
          <w:i w:val="false"/>
          <w:iCs w:val="false"/>
          <w:color w:val="000000"/>
          <w:sz w:val="26"/>
        </w:rPr>
        <w:t>O PREFEITO MUNICIPAL DE SANTANA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2"/>
        </w:rPr>
      </w:pPr>
      <w:r>
        <w:rPr>
          <w:rFonts w:ascii="TimesNewRomanPSMT" w:hAnsi="TimesNewRomanPSMT"/>
          <w:b w:val="false"/>
          <w:i w:val="false"/>
          <w:color w:val="000000"/>
          <w:sz w:val="22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i w:val="false"/>
          <w:color w:val="000000"/>
          <w:sz w:val="24"/>
          <w:szCs w:val="24"/>
        </w:rPr>
        <w:t>Faço saber, que a Camara Municipal de Santana Aprovou, e Eu sanciono, a seguinte Lei: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  <w:sz w:val="22"/>
        </w:rPr>
      </w:pPr>
      <w:r>
        <w:rPr>
          <w:rFonts w:ascii="TimesNewRomanPSMT" w:hAnsi="TimesNewRomanPSMT"/>
          <w:b w:val="false"/>
          <w:i w:val="false"/>
          <w:color w:val="000000"/>
          <w:sz w:val="22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/>
          <w:bCs/>
          <w:i w:val="false"/>
          <w:color w:val="000000"/>
          <w:sz w:val="24"/>
          <w:szCs w:val="24"/>
        </w:rPr>
        <w:t>Art. 1º</w:t>
      </w: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 xml:space="preserve"> - Fica o Poder Executivo Municipal autorizado a  criar  o  Programa Capacitando  o   Idoso,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oferecer às pessoas acima de 60 anos de idade, oportunidades para se reciclarem profissionalmente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e/ou aprenderem novos ofícios, no objetivo de aprimorar o exercício da cidadania.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MT" w:hAnsi="TimesNewRomanPSMT"/>
          <w:b/>
          <w:bCs/>
          <w:i w:val="false"/>
          <w:color w:val="000000"/>
          <w:sz w:val="24"/>
          <w:szCs w:val="24"/>
        </w:rPr>
        <w:t>Art. 2º</w:t>
      </w: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 xml:space="preserve"> - O Programa Capacitando o Idoso é  um  Programa  que  visa   oferecer   novos       recursos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profissionalizantes, de reciclagem profissional, de atividades ligadas à informática e todas as demais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que tenham como foco agregar novos conhecimentos  às   pessoas   com  mais     de sessenta    anos,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capacitando o idoso para enfrentar a nova realidade do mercado de trabalho.</w:t>
      </w:r>
    </w:p>
    <w:p>
      <w:pPr>
        <w:pStyle w:val="Normal"/>
        <w:bidi w:val="0"/>
        <w:jc w:val="both"/>
        <w:rPr>
          <w:rFonts w:ascii="TimesNewRomanPSMT" w:hAnsi="TimesNewRomanPSMT"/>
          <w:b/>
          <w:b/>
          <w:bCs/>
          <w:i w:val="false"/>
          <w:i w:val="false"/>
          <w:color w:val="000000"/>
        </w:rPr>
      </w:pPr>
      <w:r>
        <w:rPr>
          <w:rFonts w:ascii="TimesNewRomanPSMT" w:hAnsi="TimesNewRomanPSMT"/>
          <w:b/>
          <w:bCs/>
          <w:i w:val="false"/>
          <w:color w:val="000000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MT" w:hAnsi="TimesNewRomanPSMT"/>
          <w:b/>
          <w:bCs/>
          <w:i w:val="false"/>
          <w:color w:val="000000"/>
          <w:sz w:val="24"/>
          <w:szCs w:val="24"/>
        </w:rPr>
        <w:t>Parágrafo Único</w:t>
      </w: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 xml:space="preserve"> - Fica  o  Poder  Executivo  Municipal  autorizado  a  criar  um  espaço     próprio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denominado  "Centro  de  Capacitação  do  Idoso"  onde  a capacitação do idoso para o exercício da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cidadania dar-se-á por meio do desenvolvimento de  atividades  de  caráter  educacional,   cultural e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científico.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/>
          <w:bCs/>
          <w:i w:val="false"/>
          <w:color w:val="000000"/>
          <w:sz w:val="24"/>
          <w:szCs w:val="24"/>
        </w:rPr>
        <w:t>Art. 3º</w:t>
      </w: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 xml:space="preserve"> - O Poder Executivo Municipal no intuito de atender  os  objetivos  da  presente Lei poderá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propor convênios com entidades educacionais públicas e privadas e entidades não governamentais,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para atuação de profissionais qualificados no desenvolvimento do Programa, tais como instrutores,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professores, pesquisadores, monitores e demais recursos humanos necessários para o planejamento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e execução das ações a serem empreendidas.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/>
          <w:bCs/>
          <w:i w:val="false"/>
          <w:color w:val="000000"/>
          <w:sz w:val="24"/>
          <w:szCs w:val="24"/>
        </w:rPr>
        <w:t>Art. 4º</w:t>
      </w: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 xml:space="preserve"> - O Programa Capacitando o Idoso deverá ter caráter permanente e continuado, dentro das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diretrizes e políticas educacionais do Município.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/>
          <w:bCs/>
          <w:i w:val="false"/>
          <w:color w:val="000000"/>
          <w:sz w:val="24"/>
          <w:szCs w:val="24"/>
        </w:rPr>
        <w:t>Art. 5º</w:t>
      </w: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 xml:space="preserve"> - O Executivo regulamentará a presente Lei,  prevendo,  atendendo e resolvendo  os  casos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omissos.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/>
          <w:bCs/>
          <w:i w:val="false"/>
          <w:color w:val="000000"/>
          <w:sz w:val="24"/>
          <w:szCs w:val="24"/>
        </w:rPr>
        <w:t>Art. 6º</w:t>
      </w: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 xml:space="preserve"> - Esta Lei entra em vigor na data de sua publicação, revogada as disposições em contrário.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 xml:space="preserve">   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>
          <w:rFonts w:ascii="TimesNewRomanPSMT" w:hAnsi="TimesNewRomanPSMT"/>
          <w:b/>
          <w:bCs/>
          <w:i w:val="false"/>
          <w:color w:val="000000"/>
          <w:sz w:val="24"/>
          <w:szCs w:val="24"/>
        </w:rPr>
        <w:t>PALÁCIO DR. FABIO JOSÉ DOS SANTOS, SEDE DO PODER LEGISLATIVO MUNICIPAL, EM 2</w:t>
      </w:r>
      <w:r>
        <w:rPr>
          <w:rFonts w:ascii="TimesNewRomanPSMT" w:hAnsi="TimesNewRomanPSMT"/>
          <w:b/>
          <w:bCs/>
          <w:i w:val="false"/>
          <w:color w:val="000000"/>
          <w:sz w:val="24"/>
          <w:szCs w:val="24"/>
        </w:rPr>
        <w:t>3</w:t>
      </w:r>
      <w:r>
        <w:rPr>
          <w:rFonts w:ascii="TimesNewRomanPSMT" w:hAnsi="TimesNewRomanPSMT"/>
          <w:b/>
          <w:bCs/>
          <w:i w:val="false"/>
          <w:color w:val="000000"/>
          <w:sz w:val="24"/>
          <w:szCs w:val="24"/>
        </w:rPr>
        <w:t xml:space="preserve"> DE MARÇO DE 2022</w:t>
      </w:r>
    </w:p>
    <w:p>
      <w:pPr>
        <w:pStyle w:val="Normal"/>
        <w:bidi w:val="0"/>
        <w:jc w:val="left"/>
        <w:rPr>
          <w:rFonts w:ascii="TimesNewRomanPSMT" w:hAnsi="TimesNewRomanPSMT"/>
          <w:i w:val="false"/>
          <w:i w:val="false"/>
          <w:color w:val="000000"/>
        </w:rPr>
      </w:pPr>
      <w:r>
        <w:rPr>
          <w:rFonts w:ascii="TimesNewRomanPSMT" w:hAnsi="TimesNewRomanPSMT"/>
          <w:i w:val="false"/>
          <w:color w:val="000000"/>
        </w:rPr>
      </w:r>
    </w:p>
    <w:p>
      <w:pPr>
        <w:pStyle w:val="Normal"/>
        <w:bidi w:val="0"/>
        <w:jc w:val="left"/>
        <w:rPr>
          <w:rFonts w:ascii="TimesNewRomanPSMT" w:hAnsi="TimesNewRomanPSMT"/>
          <w:i w:val="false"/>
          <w:i w:val="false"/>
          <w:color w:val="000000"/>
        </w:rPr>
      </w:pPr>
      <w:r>
        <w:rPr>
          <w:rFonts w:ascii="TimesNewRomanPSMT" w:hAnsi="TimesNewRomanPSMT"/>
          <w:i w:val="false"/>
          <w:color w:val="000000"/>
        </w:rPr>
      </w:r>
    </w:p>
    <w:p>
      <w:pPr>
        <w:pStyle w:val="Normal"/>
        <w:bidi w:val="0"/>
        <w:jc w:val="left"/>
        <w:rPr>
          <w:rFonts w:ascii="TimesNewRomanPSMT" w:hAnsi="TimesNewRomanPSMT"/>
          <w:i w:val="false"/>
          <w:i w:val="false"/>
          <w:color w:val="000000"/>
        </w:rPr>
      </w:pPr>
      <w:r>
        <w:rPr>
          <w:rFonts w:ascii="TimesNewRomanPSMT" w:hAnsi="TimesNewRomanPSMT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i w:val="false"/>
          <w:i w:val="false"/>
          <w:color w:val="000000"/>
        </w:rPr>
      </w:pPr>
      <w:r>
        <w:rPr>
          <w:rFonts w:ascii="TimesNewRomanPSMT" w:hAnsi="TimesNewRomanPSMT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i w:val="false"/>
          <w:i w:val="false"/>
          <w:color w:val="000000"/>
        </w:rPr>
      </w:pPr>
      <w:r>
        <w:rPr>
          <w:rFonts w:ascii="TimesNewRomanPSMT" w:hAnsi="TimesNewRomanPSMT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i w:val="false"/>
          <w:i w:val="false"/>
          <w:color w:val="000000"/>
        </w:rPr>
      </w:pPr>
      <w:r>
        <w:rPr>
          <w:rFonts w:ascii="TimesNewRomanPSMT" w:hAnsi="TimesNewRomanPSMT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i w:val="false"/>
          <w:i w:val="false"/>
          <w:color w:val="000000"/>
        </w:rPr>
      </w:pPr>
      <w:r>
        <w:rPr>
          <w:rFonts w:ascii="TimesNewRomanPSMT" w:hAnsi="TimesNewRomanPSMT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i w:val="false"/>
          <w:i w:val="false"/>
          <w:color w:val="000000"/>
        </w:rPr>
      </w:pPr>
      <w:r>
        <w:rPr>
          <w:rFonts w:ascii="TimesNewRomanPSMT" w:hAnsi="TimesNewRomanPSMT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i w:val="false"/>
          <w:i w:val="false"/>
          <w:color w:val="000000"/>
        </w:rPr>
      </w:pPr>
      <w:r>
        <w:rPr>
          <w:rFonts w:ascii="TimesNewRomanPSMT" w:hAnsi="TimesNewRomanPSMT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i w:val="false"/>
          <w:i w:val="false"/>
          <w:color w:val="000000"/>
        </w:rPr>
      </w:pPr>
      <w:r>
        <w:rPr>
          <w:rFonts w:ascii="TimesNewRomanPSMT" w:hAnsi="TimesNewRomanPSMT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i w:val="false"/>
          <w:i w:val="false"/>
          <w:color w:val="000000"/>
        </w:rPr>
      </w:pPr>
      <w:r>
        <w:rPr>
          <w:rFonts w:ascii="TimesNewRomanPSMT" w:hAnsi="TimesNewRomanPSMT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i w:val="false"/>
          <w:i w:val="false"/>
          <w:color w:val="000000"/>
        </w:rPr>
      </w:pPr>
      <w:r>
        <w:rPr>
          <w:rFonts w:ascii="TimesNewRomanPSMT" w:hAnsi="TimesNewRomanPSMT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b/>
          <w:b/>
          <w:bCs/>
          <w:sz w:val="24"/>
          <w:szCs w:val="24"/>
        </w:rPr>
      </w:pPr>
      <w:r>
        <w:rPr>
          <w:rFonts w:ascii="TimesNewRomanPSMT" w:hAnsi="TimesNewRomanPSMT"/>
          <w:b/>
          <w:bCs/>
          <w:i w:val="false"/>
          <w:color w:val="000000"/>
          <w:sz w:val="24"/>
          <w:szCs w:val="24"/>
        </w:rPr>
        <w:t>Vereador JOSIVALDO ABRANTES</w:t>
      </w:r>
    </w:p>
    <w:p>
      <w:pPr>
        <w:pStyle w:val="Normal"/>
        <w:bidi w:val="0"/>
        <w:ind w:hanging="0"/>
        <w:jc w:val="left"/>
        <w:rPr>
          <w:b/>
          <w:b/>
          <w:bCs/>
          <w:sz w:val="24"/>
          <w:szCs w:val="24"/>
        </w:rPr>
      </w:pPr>
      <w:r>
        <w:rPr>
          <w:rFonts w:ascii="TimesNewRomanPSMT" w:hAnsi="TimesNewRomanPSMT"/>
          <w:b/>
          <w:bCs/>
          <w:i w:val="false"/>
          <w:color w:val="000000"/>
          <w:sz w:val="24"/>
          <w:szCs w:val="24"/>
        </w:rPr>
        <w:t>PDT / SANTANA</w:t>
      </w:r>
    </w:p>
    <w:p>
      <w:pPr>
        <w:pStyle w:val="Normal"/>
        <w:bidi w:val="0"/>
        <w:ind w:hanging="0"/>
        <w:jc w:val="lef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ind w:hanging="0"/>
        <w:jc w:val="center"/>
        <w:rPr>
          <w:b/>
          <w:b/>
          <w:bCs/>
          <w:sz w:val="24"/>
          <w:szCs w:val="24"/>
        </w:rPr>
      </w:pPr>
      <w:r>
        <w:rPr>
          <w:rFonts w:ascii="TimesNewRomanPSMT" w:hAnsi="TimesNewRomanPSMT"/>
          <w:b/>
          <w:bCs/>
          <w:i w:val="false"/>
          <w:color w:val="000000"/>
          <w:sz w:val="24"/>
          <w:szCs w:val="24"/>
        </w:rPr>
        <w:t>JUSTIFICATIVA</w:t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ind w:hanging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/>
          <w:i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O projeto apresentado tem por finalidade incentivar e estimular  os   cidadãos  que integram o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grupo da terceira idade a realizarem cursos de capacitação em diversas áreas, seja educacional,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como cultural e também científico para que dessa forma consigam exercer novas práticas além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daqueles que sempre exerceu.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TimesNewRomanPSMT" w:hAnsi="TimesNewRomanPSMT"/>
          <w:b w:val="false"/>
          <w:i w:val="false"/>
          <w:color w:val="000000"/>
          <w:sz w:val="24"/>
          <w:szCs w:val="24"/>
        </w:rPr>
        <w:t>Pelo exposto e pelo relevante alcance social qure a matéria encerra, solicito  o apoio dos nobres vereadores para aprovação do projeto.</w:t>
      </w:r>
    </w:p>
    <w:p>
      <w:pPr>
        <w:pStyle w:val="Normal"/>
        <w:bidi w:val="0"/>
        <w:jc w:val="left"/>
        <w:rPr>
          <w:rFonts w:ascii="TimesNewRomanPSMT" w:hAnsi="TimesNewRomanPSMT"/>
          <w:b w:val="false"/>
          <w:b w:val="false"/>
          <w:i w:val="false"/>
          <w:i w:val="false"/>
          <w:color w:val="000000"/>
        </w:rPr>
      </w:pPr>
      <w:r>
        <w:rPr>
          <w:rFonts w:ascii="TimesNewRomanPSMT" w:hAnsi="TimesNewRomanPSMT"/>
          <w:b w:val="false"/>
          <w:i w:val="false"/>
          <w:color w:val="000000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sectPr>
      <w:headerReference w:type="default" r:id="rId2"/>
      <w:type w:val="nextPage"/>
      <w:pgSz w:w="11906" w:h="16838"/>
      <w:pgMar w:left="1134" w:right="1134" w:gutter="0" w:header="1134" w:top="3917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imesNewRomanPS-ItalicMT">
    <w:charset w:val="00"/>
    <w:family w:val="roman"/>
    <w:pitch w:val="variable"/>
  </w:font>
  <w:font w:name="Arial">
    <w:charset w:val="00"/>
    <w:family w:val="roman"/>
    <w:pitch w:val="variable"/>
  </w:font>
  <w:font w:name="TimesNewRomanPS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jc w:val="center"/>
      <w:rPr>
        <w:lang w:val="pt-BR" w:eastAsia="pt-BR"/>
      </w:rPr>
    </w:pPr>
    <w:r>
      <w:rPr/>
      <w:drawing>
        <wp:inline distT="0" distB="0" distL="0" distR="0">
          <wp:extent cx="713740" cy="76073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1" t="-46" r="-51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bidi w:val="0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Estado do Amapá</w:t>
    </w:r>
  </w:p>
  <w:p>
    <w:pPr>
      <w:pStyle w:val="Cabealho"/>
      <w:bidi w:val="0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>
    <w:pPr>
      <w:pStyle w:val="Cabealho"/>
      <w:bidi w:val="0"/>
      <w:jc w:val="center"/>
      <w:rPr>
        <w:b/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>
    <w:pPr>
      <w:pStyle w:val="Normal"/>
      <w:bidi w:val="0"/>
      <w:jc w:val="center"/>
      <w:rPr/>
    </w:pPr>
    <w:r>
      <w:rPr>
        <w:b/>
        <w:i/>
      </w:rPr>
      <w:t>Gabinete do Vereador JOSIVALDO ABRANTES - PDT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qFormat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>
      <w:rFonts w:ascii="Calibri" w:hAnsi="Calibri" w:eastAsia="Calibri" w:cs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LibreOffice/7.3.1.3$Windows_X86_64 LibreOffice_project/a69ca51ded25f3eefd52d7bf9a5fad8c90b87951</Application>
  <AppVersion>15.0000</AppVersion>
  <Pages>3</Pages>
  <Words>406</Words>
  <Characters>2242</Characters>
  <CharactersWithSpaces>2695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2022-03-17T10:25:25Z</dcterms:created>
  <dc:creator/>
  <dc:description/>
  <dc:language>pt-BR</dc:language>
  <cp:lastModifiedBy/>
  <dcterms:modified xsi:type="dcterms:W3CDTF">2022-03-22T10:15:34Z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